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 — Regulatory Compliance Posture (Phase 3.75)</w:t>
      </w:r>
    </w:p>
    <w:p>
      <w:r/>
      <w:r>
        <w:rPr>
          <w:b/>
        </w:rPr>
        <w:t>Consentext Platform — Layer Vault Specification</w:t>
      </w:r>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20"/>
              </w:rPr>
              <w:t>Version</w:t>
            </w:r>
          </w:p>
        </w:tc>
        <w:tc>
          <w:tcPr>
            <w:tcW w:type="dxa" w:w="2340"/>
          </w:tcPr>
          <w:p>
            <w:r>
              <w:rPr>
                <w:b/>
                <w:sz w:val="20"/>
              </w:rPr>
              <w:t>Author</w:t>
            </w:r>
          </w:p>
        </w:tc>
        <w:tc>
          <w:tcPr>
            <w:tcW w:type="dxa" w:w="2340"/>
          </w:tcPr>
          <w:p>
            <w:r>
              <w:rPr>
                <w:b/>
                <w:sz w:val="20"/>
              </w:rPr>
              <w:t>Date</w:t>
            </w:r>
          </w:p>
        </w:tc>
        <w:tc>
          <w:tcPr>
            <w:tcW w:type="dxa" w:w="2340"/>
          </w:tcPr>
          <w:p>
            <w:r>
              <w:rPr>
                <w:b/>
                <w:sz w:val="20"/>
              </w:rPr>
              <w:t>Notes</w:t>
            </w:r>
          </w:p>
        </w:tc>
      </w:tr>
      <w:tr>
        <w:tc>
          <w:tcPr>
            <w:tcW w:type="dxa" w:w="2340"/>
          </w:tcPr>
          <w:p>
            <w:r>
              <w:rPr>
                <w:sz w:val="20"/>
              </w:rPr>
              <w:t>v1.0</w:t>
            </w:r>
          </w:p>
        </w:tc>
        <w:tc>
          <w:tcPr>
            <w:tcW w:type="dxa" w:w="2340"/>
          </w:tcPr>
          <w:p>
            <w:r>
              <w:rPr>
                <w:sz w:val="20"/>
              </w:rPr>
              <w:t>Huy Nguyen</w:t>
            </w:r>
          </w:p>
        </w:tc>
        <w:tc>
          <w:tcPr>
            <w:tcW w:type="dxa" w:w="2340"/>
          </w:tcPr>
          <w:p>
            <w:r>
              <w:rPr>
                <w:sz w:val="20"/>
              </w:rPr>
              <w:t>02.16.26</w:t>
            </w:r>
          </w:p>
        </w:tc>
        <w:tc>
          <w:tcPr>
            <w:tcW w:type="dxa" w:w="2340"/>
          </w:tcPr>
          <w:p>
            <w:r>
              <w:rPr>
                <w:sz w:val="20"/>
              </w:rPr>
              <w:t>Initial regulatory posture document — HIPAA alignment</w:t>
            </w:r>
          </w:p>
        </w:tc>
      </w:tr>
    </w:tbl>
    <w:p/>
    <w:p>
      <w:r>
        <w:t>____________________________________________________________</w:t>
      </w:r>
    </w:p>
    <w:p>
      <w:pPr>
        <w:pStyle w:val="Heading2"/>
      </w:pPr>
      <w:r>
        <w:t>0. Purpose</w:t>
      </w:r>
    </w:p>
    <w:p>
      <w:r>
        <w:t>This document defines when and how Consentext must comply with HIPAA and related healthcare privacy regulations. It serves as the regulatory umbrella over all other specification documents.</w:t>
      </w:r>
    </w:p>
    <w:p>
      <w:r>
        <w:t>Every other spec in this package (01–07) must be read in the context of this posture. Where a spec-level requirement conflicts with a regulatory requirement stated here, this document governs.</w:t>
      </w:r>
    </w:p>
    <w:p>
      <w:pPr>
        <w:pStyle w:val="Heading2"/>
      </w:pPr>
      <w:r>
        <w:t>1. Consentext's Dual Regulatory Identity</w:t>
      </w:r>
    </w:p>
    <w:p>
      <w:r>
        <w:t>Consentext occupies two regulatory positions depending on deployment context:</w:t>
      </w:r>
    </w:p>
    <w:p>
      <w:pPr>
        <w:pStyle w:val="Heading3"/>
      </w:pPr>
      <w:r>
        <w:t>1.1 Consumer Vault (Direct-to-User)</w:t>
      </w:r>
    </w:p>
    <w:p>
      <w:r>
        <w:t>When users store and manage their own health data without a covered entity relationship:</w:t>
      </w:r>
    </w:p>
    <w:p>
      <w:pPr>
        <w:pStyle w:val="ListBullet"/>
      </w:pPr>
      <w:r>
        <w:t>Consentext may fall outside HIPAA's direct scope (similar to personal health apps under the FTC Health Breach Notification Rule)</w:t>
      </w:r>
    </w:p>
    <w:p>
      <w:pPr>
        <w:pStyle w:val="ListBullet"/>
      </w:pPr>
      <w:r>
        <w:t xml:space="preserve">However, Consentext will </w:t>
      </w:r>
      <w:r>
        <w:rPr>
          <w:b/>
        </w:rPr>
        <w:t>voluntarily adopt HIPAA-grade safeguards</w:t>
      </w:r>
      <w:r>
        <w:t xml:space="preserve"> as a trust signal and competitive differentiator</w:t>
      </w:r>
    </w:p>
    <w:p>
      <w:pPr>
        <w:pStyle w:val="ListBullet"/>
      </w:pPr>
      <w:r>
        <w:t>FTC Health Breach Notification Rule (16 CFR Part 318) applies to personal health records not covered by HIPAA</w:t>
      </w:r>
    </w:p>
    <w:p>
      <w:pPr>
        <w:pStyle w:val="Heading3"/>
      </w:pPr>
      <w:r>
        <w:t>1.2 Clinical Portal (Business Associate)</w:t>
      </w:r>
    </w:p>
    <w:p>
      <w:r>
        <w:t>When Consentext connects with clinics, insurance companies, or labs through the clinical portal:</w:t>
      </w:r>
    </w:p>
    <w:p>
      <w:pPr>
        <w:pStyle w:val="ListBullet"/>
      </w:pPr>
      <w:r>
        <w:t xml:space="preserve">Consentext becomes a </w:t>
      </w:r>
      <w:r>
        <w:rPr>
          <w:b/>
        </w:rPr>
        <w:t>Business Associate</w:t>
      </w:r>
      <w:r>
        <w:t xml:space="preserve"> under HIPAA</w:t>
      </w:r>
    </w:p>
    <w:p>
      <w:pPr>
        <w:pStyle w:val="ListBullet"/>
      </w:pPr>
      <w:r>
        <w:t>A Business Associate Agreement (BAA) is required with every covered entity</w:t>
      </w:r>
    </w:p>
    <w:p>
      <w:pPr>
        <w:pStyle w:val="ListBullet"/>
      </w:pPr>
      <w:r>
        <w:t>All HIPAA Security Rule, Privacy Rule, and Breach Notification Rule requirements apply in full</w:t>
      </w:r>
    </w:p>
    <w:p>
      <w:pPr>
        <w:pStyle w:val="ListBullet"/>
      </w:pPr>
      <w:r>
        <w:t>The clinical portal cannot launch without BAA framework and compliance validation</w:t>
      </w:r>
    </w:p>
    <w:p>
      <w:r/>
      <w:r>
        <w:rPr>
          <w:b/>
        </w:rPr>
        <w:t>Design principle:</w:t>
      </w:r>
      <w:r>
        <w:t xml:space="preserve"> Build to the higher standard (HIPAA Business Associate) from day one, so the consumer vault is already compliant when the clinical portal launches.</w:t>
      </w:r>
    </w:p>
    <w:p>
      <w:pPr>
        <w:pStyle w:val="Heading2"/>
      </w:pPr>
      <w:r>
        <w:t>2. Business Associate Agreement (BAA) Framework</w:t>
      </w:r>
    </w:p>
    <w:p>
      <w:pPr>
        <w:pStyle w:val="Heading3"/>
      </w:pPr>
      <w:r>
        <w:t>2.1 When a BAA Is Required</w:t>
      </w:r>
    </w:p>
    <w:p>
      <w:r>
        <w:t>A BAA must be executed before Consentext receives, stores, processes, or transmits PHI on behalf of a covered entity. This includes:</w:t>
      </w:r>
    </w:p>
    <w:p>
      <w:pPr>
        <w:pStyle w:val="ListBullet"/>
      </w:pPr>
      <w:r>
        <w:t>Clinics or provider organizations using the clinical portal</w:t>
      </w:r>
    </w:p>
    <w:p>
      <w:pPr>
        <w:pStyle w:val="ListBullet"/>
      </w:pPr>
      <w:r>
        <w:t>Insurance companies accessing patient data through Consentext</w:t>
      </w:r>
    </w:p>
    <w:p>
      <w:pPr>
        <w:pStyle w:val="ListBullet"/>
      </w:pPr>
      <w:r>
        <w:t>Labs transmitting results into patient vaults</w:t>
      </w:r>
    </w:p>
    <w:p>
      <w:pPr>
        <w:pStyle w:val="ListBullet"/>
      </w:pPr>
      <w:r>
        <w:t>Any third-party service provider that handles PHI on Consentext's behalf (cloud hosting, backup services, etc.)</w:t>
      </w:r>
    </w:p>
    <w:p>
      <w:pPr>
        <w:pStyle w:val="Heading3"/>
      </w:pPr>
      <w:r>
        <w:t>2.2 BAA Minimum Requirements</w:t>
      </w:r>
    </w:p>
    <w:p>
      <w:r>
        <w:t>Every BAA must include:</w:t>
      </w:r>
    </w:p>
    <w:p>
      <w:pPr>
        <w:pStyle w:val="ListBullet"/>
      </w:pPr>
      <w:r>
        <w:t>Permitted uses and disclosures of PHI</w:t>
      </w:r>
    </w:p>
    <w:p>
      <w:pPr>
        <w:pStyle w:val="ListBullet"/>
      </w:pPr>
      <w:r>
        <w:t>Requirement to implement appropriate safeguards</w:t>
      </w:r>
    </w:p>
    <w:p>
      <w:pPr>
        <w:pStyle w:val="ListBullet"/>
      </w:pPr>
      <w:r>
        <w:t>Requirement to report breaches and security incidents</w:t>
      </w:r>
    </w:p>
    <w:p>
      <w:pPr>
        <w:pStyle w:val="ListBullet"/>
      </w:pPr>
      <w:r>
        <w:t>Requirement to make PHI available to individuals upon request</w:t>
      </w:r>
    </w:p>
    <w:p>
      <w:pPr>
        <w:pStyle w:val="ListBullet"/>
      </w:pPr>
      <w:r>
        <w:t>Requirement to make records available to HHS for compliance audits</w:t>
      </w:r>
    </w:p>
    <w:p>
      <w:pPr>
        <w:pStyle w:val="ListBullet"/>
      </w:pPr>
      <w:r>
        <w:t>Requirement to return or destroy PHI at contract termination</w:t>
      </w:r>
    </w:p>
    <w:p>
      <w:pPr>
        <w:pStyle w:val="ListBullet"/>
      </w:pPr>
      <w:r>
        <w:t>Subcontractor flow-down requirements (any sub-processors must also sign BAAs)</w:t>
      </w:r>
    </w:p>
    <w:p>
      <w:pPr>
        <w:pStyle w:val="Heading3"/>
      </w:pPr>
      <w:r>
        <w:t>2.3 Cloud Provider BAAs</w:t>
      </w:r>
    </w:p>
    <w:p>
      <w:r>
        <w:t>Consentext's infrastructure provider (AWS recommended) must have a BAA in place covering:</w:t>
      </w:r>
    </w:p>
    <w:p>
      <w:pPr>
        <w:pStyle w:val="ListBullet"/>
      </w:pPr>
      <w:r>
        <w:t>Compute services (EC2/ECS/Lambda)</w:t>
      </w:r>
    </w:p>
    <w:p>
      <w:pPr>
        <w:pStyle w:val="ListBullet"/>
      </w:pPr>
      <w:r>
        <w:t>Storage services (S3, RDS)</w:t>
      </w:r>
    </w:p>
    <w:p>
      <w:pPr>
        <w:pStyle w:val="ListBullet"/>
      </w:pPr>
      <w:r>
        <w:t>Key management (KMS)</w:t>
      </w:r>
    </w:p>
    <w:p>
      <w:pPr>
        <w:pStyle w:val="ListBullet"/>
      </w:pPr>
      <w:r>
        <w:t>Any other service that touches PHI</w:t>
      </w:r>
    </w:p>
    <w:p>
      <w:r/>
      <w:r>
        <w:rPr>
          <w:b/>
        </w:rPr>
        <w:t>Action item:</w:t>
      </w:r>
      <w:r>
        <w:t xml:space="preserve"> Execute AWS BAA before storing any real PHI in production.</w:t>
      </w:r>
    </w:p>
    <w:p>
      <w:pPr>
        <w:pStyle w:val="Heading2"/>
      </w:pPr>
      <w:r>
        <w:t>3. Designated Security Officer</w:t>
      </w:r>
    </w:p>
    <w:p>
      <w:r>
        <w:t>HIPAA requires a designated Security Officer responsible for developing and implementing the security program.</w:t>
      </w:r>
    </w:p>
    <w:p>
      <w:pPr>
        <w:pStyle w:val="Heading3"/>
      </w:pPr>
      <w:r>
        <w:t>3.1 Responsibilities</w:t>
      </w:r>
    </w:p>
    <w:p>
      <w:r>
        <w:t>The Security Officer (or equivalent role at Consentext's stage):</w:t>
      </w:r>
    </w:p>
    <w:p>
      <w:pPr>
        <w:pStyle w:val="ListBullet"/>
      </w:pPr>
      <w:r>
        <w:t>Owns the security policies and procedures</w:t>
      </w:r>
    </w:p>
    <w:p>
      <w:pPr>
        <w:pStyle w:val="ListBullet"/>
      </w:pPr>
      <w:r>
        <w:t>Conducts or coordinates the annual risk analysis</w:t>
      </w:r>
    </w:p>
    <w:p>
      <w:pPr>
        <w:pStyle w:val="ListBullet"/>
      </w:pPr>
      <w:r>
        <w:t>Manages the breach notification process</w:t>
      </w:r>
    </w:p>
    <w:p>
      <w:pPr>
        <w:pStyle w:val="ListBullet"/>
      </w:pPr>
      <w:r>
        <w:t>Oversees workforce security training</w:t>
      </w:r>
    </w:p>
    <w:p>
      <w:pPr>
        <w:pStyle w:val="ListBullet"/>
      </w:pPr>
      <w:r>
        <w:t>Reviews access logs and audit trails</w:t>
      </w:r>
    </w:p>
    <w:p>
      <w:pPr>
        <w:pStyle w:val="ListBullet"/>
      </w:pPr>
      <w:r>
        <w:t>Coordinates with legal counsel on compliance matters</w:t>
      </w:r>
    </w:p>
    <w:p>
      <w:pPr>
        <w:pStyle w:val="Heading3"/>
      </w:pPr>
      <w:r>
        <w:t>3.2 Current State</w:t>
      </w:r>
    </w:p>
    <w:p>
      <w:r/>
      <w:r>
        <w:rPr>
          <w:b/>
        </w:rPr>
        <w:t>TBD:</w:t>
      </w:r>
      <w:r>
        <w:t xml:space="preserve"> Assign this role. At early stage, this may be the founder or CTO. As the team grows, this should be a dedicated role or outsourced to a qualified HIPAA compliance consultant.</w:t>
      </w:r>
    </w:p>
    <w:p>
      <w:pPr>
        <w:pStyle w:val="Heading2"/>
      </w:pPr>
      <w:r>
        <w:t>4. Risk Analysis Process</w:t>
      </w:r>
    </w:p>
    <w:p>
      <w:r>
        <w:t>HIPAA Security Rule (§164.308(a)(1)) requires a formal risk analysis.</w:t>
      </w:r>
    </w:p>
    <w:p>
      <w:pPr>
        <w:pStyle w:val="Heading3"/>
      </w:pPr>
      <w:r>
        <w:t>4.1 Annual Risk Analysis</w:t>
      </w:r>
    </w:p>
    <w:p>
      <w:r>
        <w:t>Consentext must conduct a documented risk analysis at least annually that:</w:t>
      </w:r>
    </w:p>
    <w:p>
      <w:pPr>
        <w:pStyle w:val="ListBullet"/>
      </w:pPr>
      <w:r>
        <w:t>Identifies all systems that create, receive, maintain, or transmit ePHI</w:t>
      </w:r>
    </w:p>
    <w:p>
      <w:pPr>
        <w:pStyle w:val="ListBullet"/>
      </w:pPr>
      <w:r>
        <w:t>Identifies threats and vulnerabilities to those systems</w:t>
      </w:r>
    </w:p>
    <w:p>
      <w:pPr>
        <w:pStyle w:val="ListBullet"/>
      </w:pPr>
      <w:r>
        <w:t>Assesses the likelihood and impact of each threat</w:t>
      </w:r>
    </w:p>
    <w:p>
      <w:pPr>
        <w:pStyle w:val="ListBullet"/>
      </w:pPr>
      <w:r>
        <w:t>Documents current security measures</w:t>
      </w:r>
    </w:p>
    <w:p>
      <w:pPr>
        <w:pStyle w:val="ListBullet"/>
      </w:pPr>
      <w:r>
        <w:t>Determines the risk level for each threat/vulnerability pair</w:t>
      </w:r>
    </w:p>
    <w:p>
      <w:pPr>
        <w:pStyle w:val="ListBullet"/>
      </w:pPr>
      <w:r>
        <w:t>Documents remediation plans for unacceptable risks</w:t>
      </w:r>
    </w:p>
    <w:p>
      <w:pPr>
        <w:pStyle w:val="Heading3"/>
      </w:pPr>
      <w:r>
        <w:t>4.2 Risk Analysis Triggers</w:t>
      </w:r>
    </w:p>
    <w:p>
      <w:r>
        <w:t>In addition to the annual cadence, a risk analysis must be conducted when:</w:t>
      </w:r>
    </w:p>
    <w:p>
      <w:pPr>
        <w:pStyle w:val="ListBullet"/>
      </w:pPr>
      <w:r>
        <w:t>New systems or technology are introduced</w:t>
      </w:r>
    </w:p>
    <w:p>
      <w:pPr>
        <w:pStyle w:val="ListBullet"/>
      </w:pPr>
      <w:r>
        <w:t>The clinical portal launches or expands to new covered entities</w:t>
      </w:r>
    </w:p>
    <w:p>
      <w:pPr>
        <w:pStyle w:val="ListBullet"/>
      </w:pPr>
      <w:r>
        <w:t>A security incident or breach occurs</w:t>
      </w:r>
    </w:p>
    <w:p>
      <w:pPr>
        <w:pStyle w:val="ListBullet"/>
      </w:pPr>
      <w:r>
        <w:t>Significant changes to the operating environment</w:t>
      </w:r>
    </w:p>
    <w:p>
      <w:pPr>
        <w:pStyle w:val="Heading3"/>
      </w:pPr>
      <w:r>
        <w:t>4.3 Documentation</w:t>
      </w:r>
    </w:p>
    <w:p>
      <w:r>
        <w:t xml:space="preserve">Risk analysis results must be documented and retained for a minimum of </w:t>
      </w:r>
      <w:r>
        <w:rPr>
          <w:b/>
        </w:rPr>
        <w:t>6 years</w:t>
      </w:r>
      <w:r>
        <w:t xml:space="preserve"> per HIPAA requirements. This documentation must include:</w:t>
      </w:r>
    </w:p>
    <w:p>
      <w:pPr>
        <w:pStyle w:val="ListBullet"/>
      </w:pPr>
      <w:r>
        <w:t>Assessment methodology</w:t>
      </w:r>
    </w:p>
    <w:p>
      <w:pPr>
        <w:pStyle w:val="ListBullet"/>
      </w:pPr>
      <w:r>
        <w:t>Findings and risk ratings</w:t>
      </w:r>
    </w:p>
    <w:p>
      <w:pPr>
        <w:pStyle w:val="ListBullet"/>
      </w:pPr>
      <w:r>
        <w:t>Remediation actions taken</w:t>
      </w:r>
    </w:p>
    <w:p>
      <w:pPr>
        <w:pStyle w:val="ListBullet"/>
      </w:pPr>
      <w:r>
        <w:t>Residual risk acceptance decisions</w:t>
      </w:r>
    </w:p>
    <w:p>
      <w:pPr>
        <w:pStyle w:val="Heading2"/>
      </w:pPr>
      <w:r>
        <w:t>5. Breach Notification Procedures</w:t>
      </w:r>
    </w:p>
    <w:p>
      <w:pPr>
        <w:pStyle w:val="Heading3"/>
      </w:pPr>
      <w:r>
        <w:t>5.1 What Constitutes a Breach</w:t>
      </w:r>
    </w:p>
    <w:p>
      <w:r>
        <w:t>A breach is the unauthorized acquisition, access, use, or disclosure of PHI that compromises its security or privacy. Exceptions:</w:t>
      </w:r>
    </w:p>
    <w:p>
      <w:pPr>
        <w:pStyle w:val="ListBullet"/>
      </w:pPr>
      <w:r>
        <w:t>Unintentional access by a workforce member acting in good faith within scope</w:t>
      </w:r>
    </w:p>
    <w:p>
      <w:pPr>
        <w:pStyle w:val="ListBullet"/>
      </w:pPr>
      <w:r>
        <w:t>Inadvertent disclosure between authorized persons within the organization</w:t>
      </w:r>
    </w:p>
    <w:p>
      <w:pPr>
        <w:pStyle w:val="ListBullet"/>
      </w:pPr>
      <w:r>
        <w:t>Good faith belief that the recipient cannot retain the information</w:t>
      </w:r>
    </w:p>
    <w:p>
      <w:pPr>
        <w:pStyle w:val="Heading3"/>
      </w:pPr>
      <w:r>
        <w:t>5.2 Breach Assessment</w:t>
      </w:r>
    </w:p>
    <w:p>
      <w:r>
        <w:t>Upon discovering a potential breach, Consentext must assess:</w:t>
      </w:r>
    </w:p>
    <w:p>
      <w:pPr>
        <w:pStyle w:val="ListNumber"/>
      </w:pPr>
      <w:r>
        <w:t>The nature and extent of the PHI involved</w:t>
      </w:r>
    </w:p>
    <w:p>
      <w:pPr>
        <w:pStyle w:val="ListNumber"/>
      </w:pPr>
      <w:r>
        <w:t>The unauthorized person who used or received the PHI</w:t>
      </w:r>
    </w:p>
    <w:p>
      <w:pPr>
        <w:pStyle w:val="ListNumber"/>
      </w:pPr>
      <w:r>
        <w:t>Whether the PHI was actually acquired or viewed</w:t>
      </w:r>
    </w:p>
    <w:p>
      <w:pPr>
        <w:pStyle w:val="ListNumber"/>
      </w:pPr>
      <w:r>
        <w:t>The extent to which the risk has been mitigated</w:t>
      </w:r>
    </w:p>
    <w:p>
      <w:pPr>
        <w:pStyle w:val="Heading3"/>
      </w:pPr>
      <w:r>
        <w:t>5.3 Notification Timeline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Notification</w:t>
            </w:r>
          </w:p>
        </w:tc>
        <w:tc>
          <w:tcPr>
            <w:tcW w:type="dxa" w:w="3120"/>
          </w:tcPr>
          <w:p>
            <w:r>
              <w:rPr>
                <w:b/>
                <w:sz w:val="20"/>
              </w:rPr>
              <w:t>Deadline</w:t>
            </w:r>
          </w:p>
        </w:tc>
        <w:tc>
          <w:tcPr>
            <w:tcW w:type="dxa" w:w="3120"/>
          </w:tcPr>
          <w:p>
            <w:r>
              <w:rPr>
                <w:b/>
                <w:sz w:val="20"/>
              </w:rPr>
              <w:t>Recipient</w:t>
            </w:r>
          </w:p>
        </w:tc>
      </w:tr>
      <w:tr>
        <w:tc>
          <w:tcPr>
            <w:tcW w:type="dxa" w:w="3120"/>
          </w:tcPr>
          <w:p>
            <w:r>
              <w:rPr>
                <w:sz w:val="20"/>
              </w:rPr>
              <w:t>**Individual notice**</w:t>
            </w:r>
          </w:p>
        </w:tc>
        <w:tc>
          <w:tcPr>
            <w:tcW w:type="dxa" w:w="3120"/>
          </w:tcPr>
          <w:p>
            <w:r>
              <w:rPr>
                <w:sz w:val="20"/>
              </w:rPr>
              <w:t>Within 60 calendar days of discovery</w:t>
            </w:r>
          </w:p>
        </w:tc>
        <w:tc>
          <w:tcPr>
            <w:tcW w:type="dxa" w:w="3120"/>
          </w:tcPr>
          <w:p>
            <w:r>
              <w:rPr>
                <w:sz w:val="20"/>
              </w:rPr>
              <w:t>Affected individuals</w:t>
            </w:r>
          </w:p>
        </w:tc>
      </w:tr>
      <w:tr>
        <w:tc>
          <w:tcPr>
            <w:tcW w:type="dxa" w:w="3120"/>
          </w:tcPr>
          <w:p>
            <w:r>
              <w:rPr>
                <w:sz w:val="20"/>
              </w:rPr>
              <w:t>**HHS notice (≥500 individuals)**</w:t>
            </w:r>
          </w:p>
        </w:tc>
        <w:tc>
          <w:tcPr>
            <w:tcW w:type="dxa" w:w="3120"/>
          </w:tcPr>
          <w:p>
            <w:r>
              <w:rPr>
                <w:sz w:val="20"/>
              </w:rPr>
              <w:t>Within 60 calendar days of discovery</w:t>
            </w:r>
          </w:p>
        </w:tc>
        <w:tc>
          <w:tcPr>
            <w:tcW w:type="dxa" w:w="3120"/>
          </w:tcPr>
          <w:p>
            <w:r>
              <w:rPr>
                <w:sz w:val="20"/>
              </w:rPr>
              <w:t>HHS Secretary</w:t>
            </w:r>
          </w:p>
        </w:tc>
      </w:tr>
      <w:tr>
        <w:tc>
          <w:tcPr>
            <w:tcW w:type="dxa" w:w="3120"/>
          </w:tcPr>
          <w:p>
            <w:r>
              <w:rPr>
                <w:sz w:val="20"/>
              </w:rPr>
              <w:t>**HHS notice (&lt;500 individuals)**</w:t>
            </w:r>
          </w:p>
        </w:tc>
        <w:tc>
          <w:tcPr>
            <w:tcW w:type="dxa" w:w="3120"/>
          </w:tcPr>
          <w:p>
            <w:r>
              <w:rPr>
                <w:sz w:val="20"/>
              </w:rPr>
              <w:t>Annual log submission</w:t>
            </w:r>
          </w:p>
        </w:tc>
        <w:tc>
          <w:tcPr>
            <w:tcW w:type="dxa" w:w="3120"/>
          </w:tcPr>
          <w:p>
            <w:r>
              <w:rPr>
                <w:sz w:val="20"/>
              </w:rPr>
              <w:t>HHS Secretary</w:t>
            </w:r>
          </w:p>
        </w:tc>
      </w:tr>
      <w:tr>
        <w:tc>
          <w:tcPr>
            <w:tcW w:type="dxa" w:w="3120"/>
          </w:tcPr>
          <w:p>
            <w:r>
              <w:rPr>
                <w:sz w:val="20"/>
              </w:rPr>
              <w:t>**Media notice (≥500 in a state)**</w:t>
            </w:r>
          </w:p>
        </w:tc>
        <w:tc>
          <w:tcPr>
            <w:tcW w:type="dxa" w:w="3120"/>
          </w:tcPr>
          <w:p>
            <w:r>
              <w:rPr>
                <w:sz w:val="20"/>
              </w:rPr>
              <w:t>Within 60 calendar days of discovery</w:t>
            </w:r>
          </w:p>
        </w:tc>
        <w:tc>
          <w:tcPr>
            <w:tcW w:type="dxa" w:w="3120"/>
          </w:tcPr>
          <w:p>
            <w:r>
              <w:rPr>
                <w:sz w:val="20"/>
              </w:rPr>
              <w:t>Prominent media outlets in the state</w:t>
            </w:r>
          </w:p>
        </w:tc>
      </w:tr>
      <w:tr>
        <w:tc>
          <w:tcPr>
            <w:tcW w:type="dxa" w:w="3120"/>
          </w:tcPr>
          <w:p>
            <w:r>
              <w:rPr>
                <w:sz w:val="20"/>
              </w:rPr>
              <w:t>**Covered entity notice**</w:t>
            </w:r>
          </w:p>
        </w:tc>
        <w:tc>
          <w:tcPr>
            <w:tcW w:type="dxa" w:w="3120"/>
          </w:tcPr>
          <w:p>
            <w:r>
              <w:rPr>
                <w:sz w:val="20"/>
              </w:rPr>
              <w:t>Per BAA terms (typically within 5–10 business days of discovery)</w:t>
            </w:r>
          </w:p>
        </w:tc>
        <w:tc>
          <w:tcPr>
            <w:tcW w:type="dxa" w:w="3120"/>
          </w:tcPr>
          <w:p>
            <w:r>
              <w:rPr>
                <w:sz w:val="20"/>
              </w:rPr>
              <w:t>The covered entity partner</w:t>
            </w:r>
          </w:p>
        </w:tc>
      </w:tr>
    </w:tbl>
    <w:p/>
    <w:p>
      <w:r/>
      <w:r>
        <w:rPr>
          <w:b/>
        </w:rPr>
        <w:t>Note:</w:t>
      </w:r>
      <w:r>
        <w:t xml:space="preserve"> The proposed HIPAA update (2025 NPRM) may reduce the individual notification window to 30 days. Monitor regulatory updates and adopt the shorter window proactively.</w:t>
      </w:r>
    </w:p>
    <w:p>
      <w:pPr>
        <w:pStyle w:val="Heading3"/>
      </w:pPr>
      <w:r>
        <w:t>5.4 Breach Response Plan</w:t>
      </w:r>
    </w:p>
    <w:p>
      <w:r>
        <w:t>Consentext must maintain a documented breach response plan that includes:</w:t>
      </w:r>
    </w:p>
    <w:p>
      <w:pPr>
        <w:pStyle w:val="ListBullet"/>
      </w:pPr>
      <w:r>
        <w:t>Incident detection and classification procedures</w:t>
      </w:r>
    </w:p>
    <w:p>
      <w:pPr>
        <w:pStyle w:val="ListBullet"/>
      </w:pPr>
      <w:r>
        <w:t>Internal escalation chain</w:t>
      </w:r>
    </w:p>
    <w:p>
      <w:pPr>
        <w:pStyle w:val="ListBullet"/>
      </w:pPr>
      <w:r>
        <w:t>Breach assessment team composition</w:t>
      </w:r>
    </w:p>
    <w:p>
      <w:pPr>
        <w:pStyle w:val="ListBullet"/>
      </w:pPr>
      <w:r>
        <w:t>Evidence preservation procedures</w:t>
      </w:r>
    </w:p>
    <w:p>
      <w:pPr>
        <w:pStyle w:val="ListBullet"/>
      </w:pPr>
      <w:r>
        <w:t>Notification templates (individual, HHS, media, covered entity)</w:t>
      </w:r>
    </w:p>
    <w:p>
      <w:pPr>
        <w:pStyle w:val="ListBullet"/>
      </w:pPr>
      <w:r>
        <w:t>Post-breach remediation and lessons-learned process</w:t>
      </w:r>
    </w:p>
    <w:p>
      <w:pPr>
        <w:pStyle w:val="Heading2"/>
      </w:pPr>
      <w:r>
        <w:t>6. Workforce Training Requirements</w:t>
      </w:r>
    </w:p>
    <w:p>
      <w:pPr>
        <w:pStyle w:val="Heading3"/>
      </w:pPr>
      <w:r>
        <w:t>6.1 Initial Training</w:t>
      </w:r>
    </w:p>
    <w:p>
      <w:r>
        <w:t>All workforce members (employees, contractors, agents) with access to PHI or Consentext systems must complete HIPAA security and privacy training before being granted access.</w:t>
      </w:r>
    </w:p>
    <w:p>
      <w:pPr>
        <w:pStyle w:val="Heading3"/>
      </w:pPr>
      <w:r>
        <w:t>6.2 Ongoing Training</w:t>
      </w:r>
    </w:p>
    <w:p>
      <w:pPr>
        <w:pStyle w:val="ListBullet"/>
      </w:pPr>
      <w:r>
        <w:t>Annual refresher training for all workforce members</w:t>
      </w:r>
    </w:p>
    <w:p>
      <w:pPr>
        <w:pStyle w:val="ListBullet"/>
      </w:pPr>
      <w:r>
        <w:t>Additional training when policies or procedures change materially</w:t>
      </w:r>
    </w:p>
    <w:p>
      <w:pPr>
        <w:pStyle w:val="ListBullet"/>
      </w:pPr>
      <w:r>
        <w:t>Role-specific training for individuals with elevated access (system admins, security personnel)</w:t>
      </w:r>
    </w:p>
    <w:p>
      <w:pPr>
        <w:pStyle w:val="Heading3"/>
      </w:pPr>
      <w:r>
        <w:t>6.3 Training Documentation</w:t>
      </w:r>
    </w:p>
    <w:p>
      <w:r>
        <w:t xml:space="preserve">Training completion must be documented and retained for </w:t>
      </w:r>
      <w:r>
        <w:rPr>
          <w:b/>
        </w:rPr>
        <w:t>6 years</w:t>
      </w:r>
      <w:r>
        <w:t>. Documentation includes:</w:t>
      </w:r>
    </w:p>
    <w:p>
      <w:pPr>
        <w:pStyle w:val="ListBullet"/>
      </w:pPr>
      <w:r>
        <w:t>Training content and date</w:t>
      </w:r>
    </w:p>
    <w:p>
      <w:pPr>
        <w:pStyle w:val="ListBullet"/>
      </w:pPr>
      <w:r>
        <w:t>Attendee list and acknowledgment of completion</w:t>
      </w:r>
    </w:p>
    <w:p>
      <w:pPr>
        <w:pStyle w:val="ListBullet"/>
      </w:pPr>
      <w:r>
        <w:t>Assessment results (if applicable)</w:t>
      </w:r>
    </w:p>
    <w:p>
      <w:pPr>
        <w:pStyle w:val="Heading2"/>
      </w:pPr>
      <w:r>
        <w:t>7. Physical Safeguards</w:t>
      </w:r>
    </w:p>
    <w:p>
      <w:r>
        <w:t>While Consentext is a cloud-hosted platform, physical safeguards still apply.</w:t>
      </w:r>
    </w:p>
    <w:p>
      <w:pPr>
        <w:pStyle w:val="Heading3"/>
      </w:pPr>
      <w:r>
        <w:t>7.1 Cloud Provider Responsibility</w:t>
      </w:r>
    </w:p>
    <w:p>
      <w:r>
        <w:t>The cloud provider (AWS) is responsible for physical security of data centers. This is covered under the cloud provider BAA and their own HIPAA compliance certifications.</w:t>
      </w:r>
    </w:p>
    <w:p>
      <w:pPr>
        <w:pStyle w:val="Heading3"/>
      </w:pPr>
      <w:r>
        <w:t>7.2 Consentext Responsibility</w:t>
      </w:r>
    </w:p>
    <w:p>
      <w:r>
        <w:t>Consentext is responsible for:</w:t>
      </w:r>
    </w:p>
    <w:p>
      <w:pPr>
        <w:pStyle w:val="ListBullet"/>
      </w:pPr>
      <w:r/>
      <w:r>
        <w:rPr>
          <w:b/>
        </w:rPr>
        <w:t>Workstation security:</w:t>
      </w:r>
      <w:r>
        <w:t xml:space="preserve"> Devices used to access PHI must have disk encryption, screen locks, and endpoint protection</w:t>
      </w:r>
    </w:p>
    <w:p>
      <w:pPr>
        <w:pStyle w:val="ListBullet"/>
      </w:pPr>
      <w:r/>
      <w:r>
        <w:rPr>
          <w:b/>
        </w:rPr>
        <w:t>Device management:</w:t>
      </w:r>
      <w:r>
        <w:t xml:space="preserve"> Lost or stolen devices with PHI access must be reported and remotely wiped</w:t>
      </w:r>
    </w:p>
    <w:p>
      <w:pPr>
        <w:pStyle w:val="ListBullet"/>
      </w:pPr>
      <w:r/>
      <w:r>
        <w:rPr>
          <w:b/>
        </w:rPr>
        <w:t>Media disposal:</w:t>
      </w:r>
      <w:r>
        <w:t xml:space="preserve"> Any local storage media containing PHI must be securely wiped before disposal</w:t>
      </w:r>
    </w:p>
    <w:p>
      <w:pPr>
        <w:pStyle w:val="ListBullet"/>
      </w:pPr>
      <w:r/>
      <w:r>
        <w:rPr>
          <w:b/>
        </w:rPr>
        <w:t>Facility access (if applicable):</w:t>
      </w:r>
      <w:r>
        <w:t xml:space="preserve"> If Consentext operates a physical office, access controls must be in place</w:t>
      </w:r>
    </w:p>
    <w:p>
      <w:pPr>
        <w:pStyle w:val="Heading2"/>
      </w:pPr>
      <w:r>
        <w:t>8. Encryption Standards (Cross-Spec Requirement)</w:t>
      </w:r>
    </w:p>
    <w:p>
      <w:pPr>
        <w:pStyle w:val="Heading3"/>
      </w:pPr>
      <w:r>
        <w:t>8.1 Encryption in Transit</w:t>
      </w:r>
    </w:p>
    <w:p>
      <w:pPr>
        <w:pStyle w:val="ListBullet"/>
      </w:pPr>
      <w:r/>
      <w:r>
        <w:rPr>
          <w:b/>
        </w:rPr>
        <w:t>TLS 1.2 minimum</w:t>
      </w:r>
      <w:r>
        <w:t xml:space="preserve"> for all data in transit (TLS 1.3 preferred)</w:t>
      </w:r>
    </w:p>
    <w:p>
      <w:pPr>
        <w:pStyle w:val="ListBullet"/>
      </w:pPr>
      <w:r>
        <w:t>TLS 1.0 and 1.1 must be disabled</w:t>
      </w:r>
    </w:p>
    <w:p>
      <w:pPr>
        <w:pStyle w:val="ListBullet"/>
      </w:pPr>
      <w:r>
        <w:t>This applies to: API endpoints, database connections, storage access, internal service-to-service communication</w:t>
      </w:r>
    </w:p>
    <w:p>
      <w:pPr>
        <w:pStyle w:val="ListBullet"/>
      </w:pPr>
      <w:r>
        <w:t>Certificate management and rotation must be automated</w:t>
      </w:r>
    </w:p>
    <w:p>
      <w:pPr>
        <w:pStyle w:val="Heading3"/>
      </w:pPr>
      <w:r>
        <w:t>8.2 Encryption at Rest</w:t>
      </w:r>
    </w:p>
    <w:p>
      <w:pPr>
        <w:pStyle w:val="ListBullet"/>
      </w:pPr>
      <w:r>
        <w:t>Envelope encryption with KMS-managed keys (per Spec 03)</w:t>
      </w:r>
    </w:p>
    <w:p>
      <w:pPr>
        <w:pStyle w:val="ListBullet"/>
      </w:pPr>
      <w:r>
        <w:t>AES-256 or equivalent for all PHI at rest</w:t>
      </w:r>
    </w:p>
    <w:p>
      <w:pPr>
        <w:pStyle w:val="ListBullet"/>
      </w:pPr>
      <w:r>
        <w:t>Per-user data encryption keys (DEKs) for cryptographic deletion support</w:t>
      </w:r>
    </w:p>
    <w:p>
      <w:pPr>
        <w:pStyle w:val="ListBullet"/>
      </w:pPr>
      <w:r>
        <w:t>Key rotation policy must be defined and automated</w:t>
      </w:r>
    </w:p>
    <w:p>
      <w:pPr>
        <w:pStyle w:val="Heading3"/>
      </w:pPr>
      <w:r>
        <w:t>8.3 HIPAA Safe Harbor</w:t>
      </w:r>
    </w:p>
    <w:p>
      <w:r>
        <w:t>Encryption to NIST standards (AES-256 at rest, TLS 1.2+ in transit) qualifies for the HIPAA breach notification Safe Harbor. If encrypted data is breached but the encryption keys were not compromised, it is not considered an unsecured breach and notification is not required.</w:t>
      </w:r>
    </w:p>
    <w:p>
      <w:pPr>
        <w:pStyle w:val="Heading2"/>
      </w:pPr>
      <w:r>
        <w:t>9. Annual Compliance Audit</w:t>
      </w:r>
    </w:p>
    <w:p>
      <w:pPr>
        <w:pStyle w:val="Heading3"/>
      </w:pPr>
      <w:r>
        <w:t>9.1 Internal Audit Cadence</w:t>
      </w:r>
    </w:p>
    <w:p>
      <w:r>
        <w:t>Consentext must conduct an internal compliance review at least annually covering:</w:t>
      </w:r>
    </w:p>
    <w:p>
      <w:pPr>
        <w:pStyle w:val="ListBullet"/>
      </w:pPr>
      <w:r>
        <w:t>Access controls and authentication mechanisms</w:t>
      </w:r>
    </w:p>
    <w:p>
      <w:pPr>
        <w:pStyle w:val="ListBullet"/>
      </w:pPr>
      <w:r>
        <w:t>Audit log integrity and retention</w:t>
      </w:r>
    </w:p>
    <w:p>
      <w:pPr>
        <w:pStyle w:val="ListBullet"/>
      </w:pPr>
      <w:r>
        <w:t>Encryption implementation</w:t>
      </w:r>
    </w:p>
    <w:p>
      <w:pPr>
        <w:pStyle w:val="ListBullet"/>
      </w:pPr>
      <w:r>
        <w:t>BAA status with all partners</w:t>
      </w:r>
    </w:p>
    <w:p>
      <w:pPr>
        <w:pStyle w:val="ListBullet"/>
      </w:pPr>
      <w:r>
        <w:t>Workforce training completion</w:t>
      </w:r>
    </w:p>
    <w:p>
      <w:pPr>
        <w:pStyle w:val="ListBullet"/>
      </w:pPr>
      <w:r>
        <w:t>Risk analysis currency</w:t>
      </w:r>
    </w:p>
    <w:p>
      <w:pPr>
        <w:pStyle w:val="ListBullet"/>
      </w:pPr>
      <w:r>
        <w:t>Incident response readiness</w:t>
      </w:r>
    </w:p>
    <w:p>
      <w:pPr>
        <w:pStyle w:val="ListBullet"/>
      </w:pPr>
      <w:r>
        <w:t>Policy and procedure documentation currency</w:t>
      </w:r>
    </w:p>
    <w:p>
      <w:pPr>
        <w:pStyle w:val="Heading3"/>
      </w:pPr>
      <w:r>
        <w:t>9.2 External Audit Readiness</w:t>
      </w:r>
    </w:p>
    <w:p>
      <w:r>
        <w:t>Prepare for external audits by:</w:t>
      </w:r>
    </w:p>
    <w:p>
      <w:pPr>
        <w:pStyle w:val="ListBullet"/>
      </w:pPr>
      <w:r>
        <w:t>Maintaining organized compliance documentation</w:t>
      </w:r>
    </w:p>
    <w:p>
      <w:pPr>
        <w:pStyle w:val="ListBullet"/>
      </w:pPr>
      <w:r>
        <w:t>Keeping audit retention records for 6 years minimum</w:t>
      </w:r>
    </w:p>
    <w:p>
      <w:pPr>
        <w:pStyle w:val="ListBullet"/>
      </w:pPr>
      <w:r>
        <w:t>Ensuring all policies have version history and review dates</w:t>
      </w:r>
    </w:p>
    <w:p>
      <w:pPr>
        <w:pStyle w:val="ListBullet"/>
      </w:pPr>
      <w:r>
        <w:t>Documenting exceptions and remediation timelines</w:t>
      </w:r>
    </w:p>
    <w:p>
      <w:pPr>
        <w:pStyle w:val="Heading3"/>
      </w:pPr>
      <w:r>
        <w:t>9.3 SOC 2 Alignment</w:t>
      </w:r>
    </w:p>
    <w:p>
      <w:r>
        <w:t>While SOC 2 is not a HIPAA requirement, pursuing SOC 2 Type II certification provides:</w:t>
      </w:r>
    </w:p>
    <w:p>
      <w:pPr>
        <w:pStyle w:val="ListBullet"/>
      </w:pPr>
      <w:r>
        <w:t>Independent validation of security controls</w:t>
      </w:r>
    </w:p>
    <w:p>
      <w:pPr>
        <w:pStyle w:val="ListBullet"/>
      </w:pPr>
      <w:r>
        <w:t>Investor and enterprise customer confidence</w:t>
      </w:r>
    </w:p>
    <w:p>
      <w:pPr>
        <w:pStyle w:val="ListBullet"/>
      </w:pPr>
      <w:r>
        <w:t>Overlap with HIPAA Security Rule requirements</w:t>
      </w:r>
    </w:p>
    <w:p>
      <w:pPr>
        <w:pStyle w:val="ListBullet"/>
      </w:pPr>
      <w:r>
        <w:t>Recommended for Phase 4+ when pursuing enterprise and clinical portal customers</w:t>
      </w:r>
    </w:p>
    <w:p>
      <w:pPr>
        <w:pStyle w:val="Heading2"/>
      </w:pPr>
      <w:r>
        <w:t>10. HIPAA Individual Rights Mapping</w:t>
      </w:r>
    </w:p>
    <w:p>
      <w:r>
        <w:t>HIPAA grants individuals specific rights over their PHI. Consentext must support these.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HIPAA Right</w:t>
            </w:r>
          </w:p>
        </w:tc>
        <w:tc>
          <w:tcPr>
            <w:tcW w:type="dxa" w:w="3120"/>
          </w:tcPr>
          <w:p>
            <w:r>
              <w:rPr>
                <w:b/>
                <w:sz w:val="20"/>
              </w:rPr>
              <w:t>Consentext Feature</w:t>
            </w:r>
          </w:p>
        </w:tc>
        <w:tc>
          <w:tcPr>
            <w:tcW w:type="dxa" w:w="3120"/>
          </w:tcPr>
          <w:p>
            <w:r>
              <w:rPr>
                <w:b/>
                <w:sz w:val="20"/>
              </w:rPr>
              <w:t>Spec Reference</w:t>
            </w:r>
          </w:p>
        </w:tc>
      </w:tr>
      <w:tr>
        <w:tc>
          <w:tcPr>
            <w:tcW w:type="dxa" w:w="3120"/>
          </w:tcPr>
          <w:p>
            <w:r>
              <w:rPr>
                <w:sz w:val="20"/>
              </w:rPr>
              <w:t>**Right of Access**</w:t>
            </w:r>
          </w:p>
        </w:tc>
        <w:tc>
          <w:tcPr>
            <w:tcW w:type="dxa" w:w="3120"/>
          </w:tcPr>
          <w:p>
            <w:r>
              <w:rPr>
                <w:sz w:val="20"/>
              </w:rPr>
              <w:t>User can view all vault data at any time</w:t>
            </w:r>
          </w:p>
        </w:tc>
        <w:tc>
          <w:tcPr>
            <w:tcW w:type="dxa" w:w="3120"/>
          </w:tcPr>
          <w:p>
            <w:r>
              <w:rPr>
                <w:sz w:val="20"/>
              </w:rPr>
              <w:t>Spec 01 (Vault Custody)</w:t>
            </w:r>
          </w:p>
        </w:tc>
      </w:tr>
      <w:tr>
        <w:tc>
          <w:tcPr>
            <w:tcW w:type="dxa" w:w="3120"/>
          </w:tcPr>
          <w:p>
            <w:r>
              <w:rPr>
                <w:sz w:val="20"/>
              </w:rPr>
              <w:t>**Right to Amendment**</w:t>
            </w:r>
          </w:p>
        </w:tc>
        <w:tc>
          <w:tcPr>
            <w:tcW w:type="dxa" w:w="3120"/>
          </w:tcPr>
          <w:p>
            <w:r>
              <w:rPr>
                <w:sz w:val="20"/>
              </w:rPr>
              <w:t>User can update/correct vault items</w:t>
            </w:r>
          </w:p>
        </w:tc>
        <w:tc>
          <w:tcPr>
            <w:tcW w:type="dxa" w:w="3120"/>
          </w:tcPr>
          <w:p>
            <w:r>
              <w:rPr>
                <w:sz w:val="20"/>
              </w:rPr>
              <w:t>Spec 01 (Lifecycle Rules)</w:t>
            </w:r>
          </w:p>
        </w:tc>
      </w:tr>
      <w:tr>
        <w:tc>
          <w:tcPr>
            <w:tcW w:type="dxa" w:w="3120"/>
          </w:tcPr>
          <w:p>
            <w:r>
              <w:rPr>
                <w:sz w:val="20"/>
              </w:rPr>
              <w:t>**Right to Accounting of Disclosures**</w:t>
            </w:r>
          </w:p>
        </w:tc>
        <w:tc>
          <w:tcPr>
            <w:tcW w:type="dxa" w:w="3120"/>
          </w:tcPr>
          <w:p>
            <w:r>
              <w:rPr>
                <w:sz w:val="20"/>
              </w:rPr>
              <w:t>User-facing audit viewer shows all access events</w:t>
            </w:r>
          </w:p>
        </w:tc>
        <w:tc>
          <w:tcPr>
            <w:tcW w:type="dxa" w:w="3120"/>
          </w:tcPr>
          <w:p>
            <w:r>
              <w:rPr>
                <w:sz w:val="20"/>
              </w:rPr>
              <w:t>Spec 06 (Audit Logging)</w:t>
            </w:r>
          </w:p>
        </w:tc>
      </w:tr>
      <w:tr>
        <w:tc>
          <w:tcPr>
            <w:tcW w:type="dxa" w:w="3120"/>
          </w:tcPr>
          <w:p>
            <w:r>
              <w:rPr>
                <w:sz w:val="20"/>
              </w:rPr>
              <w:t>**Right to Restrict Disclosures**</w:t>
            </w:r>
          </w:p>
        </w:tc>
        <w:tc>
          <w:tcPr>
            <w:tcW w:type="dxa" w:w="3120"/>
          </w:tcPr>
          <w:p>
            <w:r>
              <w:rPr>
                <w:sz w:val="20"/>
              </w:rPr>
              <w:t>Consent policies control all sharing; user can revoke at any time</w:t>
            </w:r>
          </w:p>
        </w:tc>
        <w:tc>
          <w:tcPr>
            <w:tcW w:type="dxa" w:w="3120"/>
          </w:tcPr>
          <w:p>
            <w:r>
              <w:rPr>
                <w:sz w:val="20"/>
              </w:rPr>
              <w:t>Spec 05 (Consent &amp; Sharing)</w:t>
            </w:r>
          </w:p>
        </w:tc>
      </w:tr>
      <w:tr>
        <w:tc>
          <w:tcPr>
            <w:tcW w:type="dxa" w:w="3120"/>
          </w:tcPr>
          <w:p>
            <w:r>
              <w:rPr>
                <w:sz w:val="20"/>
              </w:rPr>
              <w:t>**Right to Confidential Communications**</w:t>
            </w:r>
          </w:p>
        </w:tc>
        <w:tc>
          <w:tcPr>
            <w:tcW w:type="dxa" w:w="3120"/>
          </w:tcPr>
          <w:p>
            <w:r>
              <w:rPr>
                <w:sz w:val="20"/>
              </w:rPr>
              <w:t>Not directly applicable (user controls their own data)</w:t>
            </w:r>
          </w:p>
        </w:tc>
        <w:tc>
          <w:tcPr>
            <w:tcW w:type="dxa" w:w="3120"/>
          </w:tcPr>
          <w:p>
            <w:r>
              <w:rPr>
                <w:sz w:val="20"/>
              </w:rPr>
              <w:t>N/A</w:t>
            </w:r>
          </w:p>
        </w:tc>
      </w:tr>
      <w:tr>
        <w:tc>
          <w:tcPr>
            <w:tcW w:type="dxa" w:w="3120"/>
          </w:tcPr>
          <w:p>
            <w:r>
              <w:rPr>
                <w:sz w:val="20"/>
              </w:rPr>
              <w:t>**Right to Receive Breach Notification**</w:t>
            </w:r>
          </w:p>
        </w:tc>
        <w:tc>
          <w:tcPr>
            <w:tcW w:type="dxa" w:w="3120"/>
          </w:tcPr>
          <w:p>
            <w:r>
              <w:rPr>
                <w:sz w:val="20"/>
              </w:rPr>
              <w:t>Breach notification procedures (this document, §5)</w:t>
            </w:r>
          </w:p>
        </w:tc>
        <w:tc>
          <w:tcPr>
            <w:tcW w:type="dxa" w:w="3120"/>
          </w:tcPr>
          <w:p>
            <w:r>
              <w:rPr>
                <w:sz w:val="20"/>
              </w:rPr>
              <w:t>This document</w:t>
            </w:r>
          </w:p>
        </w:tc>
      </w:tr>
      <w:tr>
        <w:tc>
          <w:tcPr>
            <w:tcW w:type="dxa" w:w="3120"/>
          </w:tcPr>
          <w:p>
            <w:r>
              <w:rPr>
                <w:sz w:val="20"/>
              </w:rPr>
              <w:t>**Right to Data Portability**</w:t>
            </w:r>
          </w:p>
        </w:tc>
        <w:tc>
          <w:tcPr>
            <w:tcW w:type="dxa" w:w="3120"/>
          </w:tcPr>
          <w:p>
            <w:r>
              <w:rPr>
                <w:sz w:val="20"/>
              </w:rPr>
              <w:t>Export audit history; future: export vault data</w:t>
            </w:r>
          </w:p>
        </w:tc>
        <w:tc>
          <w:tcPr>
            <w:tcW w:type="dxa" w:w="3120"/>
          </w:tcPr>
          <w:p>
            <w:r>
              <w:rPr>
                <w:sz w:val="20"/>
              </w:rPr>
              <w:t>Spec 06 (Audit Export)</w:t>
            </w:r>
          </w:p>
        </w:tc>
      </w:tr>
    </w:tbl>
    <w:p/>
    <w:p>
      <w:pPr>
        <w:pStyle w:val="Heading2"/>
      </w:pPr>
      <w:r>
        <w:t>11. AI-Specific HIPAA Considerations</w:t>
      </w:r>
    </w:p>
    <w:p>
      <w:pPr>
        <w:pStyle w:val="Heading3"/>
      </w:pPr>
      <w:r>
        <w:t>11.1 Agent Access and PHI</w:t>
      </w:r>
    </w:p>
    <w:p>
      <w:r>
        <w:t>When AI agents access PHI through the Agent/API Gateway:</w:t>
      </w:r>
    </w:p>
    <w:p>
      <w:pPr>
        <w:pStyle w:val="ListBullet"/>
      </w:pPr>
      <w:r>
        <w:t>The agent operator may need to be a Business Associate (requires BAA)</w:t>
      </w:r>
    </w:p>
    <w:p>
      <w:pPr>
        <w:pStyle w:val="ListBullet"/>
      </w:pPr>
      <w:r>
        <w:t>Agent access must be logged with the same rigor as human access (Spec 06)</w:t>
      </w:r>
    </w:p>
    <w:p>
      <w:pPr>
        <w:pStyle w:val="ListBullet"/>
      </w:pPr>
      <w:r>
        <w:t>Derived-only output reduces HIPAA exposure (less PHI leaves the vault)</w:t>
      </w:r>
    </w:p>
    <w:p>
      <w:pPr>
        <w:pStyle w:val="ListBullet"/>
      </w:pPr>
      <w:r>
        <w:t>The "no identifiers for AI" hard rule (Spec 05) aligns with HIPAA minimum necessary principle</w:t>
      </w:r>
    </w:p>
    <w:p>
      <w:pPr>
        <w:pStyle w:val="Heading3"/>
      </w:pPr>
      <w:r>
        <w:t>11.2 De-Identification for AI Export</w:t>
      </w:r>
    </w:p>
    <w:p>
      <w:r>
        <w:t>AI export bundles should align with HIPAA Safe Harbor de-identification (§164.514(b)):</w:t>
      </w:r>
    </w:p>
    <w:p>
      <w:pPr>
        <w:pStyle w:val="ListBullet"/>
      </w:pPr>
      <w:r>
        <w:t>Remove all 18 Safe Harbor identifiers before releasing data to AI systems</w:t>
      </w:r>
    </w:p>
    <w:p>
      <w:pPr>
        <w:pStyle w:val="ListBullet"/>
      </w:pPr>
      <w:r>
        <w:t>Consentext's existing "identifiers excluded for AI export" policy covers most of these</w:t>
      </w:r>
    </w:p>
    <w:p>
      <w:pPr>
        <w:pStyle w:val="ListBullet"/>
      </w:pPr>
      <w:r>
        <w:t>Ensure biomarker documents shared with AI have all Safe Harbor identifiers stripped</w:t>
      </w:r>
    </w:p>
    <w:p>
      <w:pPr>
        <w:pStyle w:val="ListBullet"/>
      </w:pPr>
      <w:r>
        <w:t>Document the de-identification methodology and retain for 6 years</w:t>
      </w:r>
    </w:p>
    <w:p>
      <w:pPr>
        <w:pStyle w:val="Heading3"/>
      </w:pPr>
      <w:r>
        <w:t>11.3 Model Training Prohibition</w:t>
      </w:r>
    </w:p>
    <w:p>
      <w:r>
        <w:t>PHI must never be used for AI model training. This is already addressed in the consent policy (</w:t>
      </w:r>
      <w:r>
        <w:rPr>
          <w:rFonts w:ascii="Consolas" w:hAnsi="Consolas"/>
          <w:color w:val="800000"/>
          <w:sz w:val="20"/>
        </w:rPr>
        <w:t>prohibited_uses: model_training</w:t>
      </w:r>
      <w:r>
        <w:t>) but must also be explicitly stated in BAAs with any AI service providers.</w:t>
      </w:r>
    </w:p>
    <w:p>
      <w:pPr>
        <w:pStyle w:val="Heading2"/>
      </w:pPr>
      <w:r>
        <w:t>12. Regulatory Monitoring</w:t>
      </w:r>
    </w:p>
    <w:p>
      <w:r>
        <w:t>Consentext must monitor regulatory developments that affect its compliance posture:</w:t>
      </w:r>
    </w:p>
    <w:p>
      <w:pPr>
        <w:pStyle w:val="ListBullet"/>
      </w:pPr>
      <w:r>
        <w:t>HIPAA rulemaking and enforcement actions (HHS OCR)</w:t>
      </w:r>
    </w:p>
    <w:p>
      <w:pPr>
        <w:pStyle w:val="ListBullet"/>
      </w:pPr>
      <w:r>
        <w:t>FTC Health Breach Notification Rule updates</w:t>
      </w:r>
    </w:p>
    <w:p>
      <w:pPr>
        <w:pStyle w:val="ListBullet"/>
      </w:pPr>
      <w:r>
        <w:t>State-level health privacy laws (e.g., Washington My Health My Data Act, Connecticut health data laws)</w:t>
      </w:r>
    </w:p>
    <w:p>
      <w:pPr>
        <w:pStyle w:val="ListBullet"/>
      </w:pPr>
      <w:r>
        <w:t>AI-specific healthcare regulations as they emerge</w:t>
      </w:r>
    </w:p>
    <w:p>
      <w:r>
        <w:t>Assign a quarterly review cadence to assess whether new regulations require policy updates.</w:t>
      </w:r>
    </w:p>
    <w:p>
      <w:pPr>
        <w:pStyle w:val="Heading2"/>
      </w:pPr>
      <w:r>
        <w:t>13. Document Retention Summary</w:t>
      </w:r>
    </w:p>
    <w:p>
      <w:r>
        <w:t xml:space="preserve">Per HIPAA, the following must be retained for </w:t>
      </w:r>
      <w:r>
        <w:rPr>
          <w:b/>
        </w:rPr>
        <w:t>6 years minimum</w:t>
      </w:r>
      <w:r>
        <w:t>:</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Document Type</w:t>
            </w:r>
          </w:p>
        </w:tc>
        <w:tc>
          <w:tcPr>
            <w:tcW w:type="dxa" w:w="4680"/>
          </w:tcPr>
          <w:p>
            <w:r>
              <w:rPr>
                <w:b/>
                <w:sz w:val="20"/>
              </w:rPr>
              <w:t>Retention</w:t>
            </w:r>
          </w:p>
        </w:tc>
      </w:tr>
      <w:tr>
        <w:tc>
          <w:tcPr>
            <w:tcW w:type="dxa" w:w="4680"/>
          </w:tcPr>
          <w:p>
            <w:r>
              <w:rPr>
                <w:sz w:val="20"/>
              </w:rPr>
              <w:t>Policies and procedures</w:t>
            </w:r>
          </w:p>
        </w:tc>
        <w:tc>
          <w:tcPr>
            <w:tcW w:type="dxa" w:w="4680"/>
          </w:tcPr>
          <w:p>
            <w:r>
              <w:rPr>
                <w:sz w:val="20"/>
              </w:rPr>
              <w:t>6 years from creation or last effective date</w:t>
            </w:r>
          </w:p>
        </w:tc>
      </w:tr>
      <w:tr>
        <w:tc>
          <w:tcPr>
            <w:tcW w:type="dxa" w:w="4680"/>
          </w:tcPr>
          <w:p>
            <w:r>
              <w:rPr>
                <w:sz w:val="20"/>
              </w:rPr>
              <w:t>Risk analysis results</w:t>
            </w:r>
          </w:p>
        </w:tc>
        <w:tc>
          <w:tcPr>
            <w:tcW w:type="dxa" w:w="4680"/>
          </w:tcPr>
          <w:p>
            <w:r>
              <w:rPr>
                <w:sz w:val="20"/>
              </w:rPr>
              <w:t>6 years</w:t>
            </w:r>
          </w:p>
        </w:tc>
      </w:tr>
      <w:tr>
        <w:tc>
          <w:tcPr>
            <w:tcW w:type="dxa" w:w="4680"/>
          </w:tcPr>
          <w:p>
            <w:r>
              <w:rPr>
                <w:sz w:val="20"/>
              </w:rPr>
              <w:t>Audit logs</w:t>
            </w:r>
          </w:p>
        </w:tc>
        <w:tc>
          <w:tcPr>
            <w:tcW w:type="dxa" w:w="4680"/>
          </w:tcPr>
          <w:p>
            <w:r>
              <w:rPr>
                <w:sz w:val="20"/>
              </w:rPr>
              <w:t>6 years</w:t>
            </w:r>
          </w:p>
        </w:tc>
      </w:tr>
      <w:tr>
        <w:tc>
          <w:tcPr>
            <w:tcW w:type="dxa" w:w="4680"/>
          </w:tcPr>
          <w:p>
            <w:r>
              <w:rPr>
                <w:sz w:val="20"/>
              </w:rPr>
              <w:t>BAA agreements</w:t>
            </w:r>
          </w:p>
        </w:tc>
        <w:tc>
          <w:tcPr>
            <w:tcW w:type="dxa" w:w="4680"/>
          </w:tcPr>
          <w:p>
            <w:r>
              <w:rPr>
                <w:sz w:val="20"/>
              </w:rPr>
              <w:t>6 years from termination</w:t>
            </w:r>
          </w:p>
        </w:tc>
      </w:tr>
      <w:tr>
        <w:tc>
          <w:tcPr>
            <w:tcW w:type="dxa" w:w="4680"/>
          </w:tcPr>
          <w:p>
            <w:r>
              <w:rPr>
                <w:sz w:val="20"/>
              </w:rPr>
              <w:t>Training records</w:t>
            </w:r>
          </w:p>
        </w:tc>
        <w:tc>
          <w:tcPr>
            <w:tcW w:type="dxa" w:w="4680"/>
          </w:tcPr>
          <w:p>
            <w:r>
              <w:rPr>
                <w:sz w:val="20"/>
              </w:rPr>
              <w:t>6 years</w:t>
            </w:r>
          </w:p>
        </w:tc>
      </w:tr>
      <w:tr>
        <w:tc>
          <w:tcPr>
            <w:tcW w:type="dxa" w:w="4680"/>
          </w:tcPr>
          <w:p>
            <w:r>
              <w:rPr>
                <w:sz w:val="20"/>
              </w:rPr>
              <w:t>Breach investigation records</w:t>
            </w:r>
          </w:p>
        </w:tc>
        <w:tc>
          <w:tcPr>
            <w:tcW w:type="dxa" w:w="4680"/>
          </w:tcPr>
          <w:p>
            <w:r>
              <w:rPr>
                <w:sz w:val="20"/>
              </w:rPr>
              <w:t>6 years</w:t>
            </w:r>
          </w:p>
        </w:tc>
      </w:tr>
      <w:tr>
        <w:tc>
          <w:tcPr>
            <w:tcW w:type="dxa" w:w="4680"/>
          </w:tcPr>
          <w:p>
            <w:r>
              <w:rPr>
                <w:sz w:val="20"/>
              </w:rPr>
              <w:t>Compliance review reports</w:t>
            </w:r>
          </w:p>
        </w:tc>
        <w:tc>
          <w:tcPr>
            <w:tcW w:type="dxa" w:w="4680"/>
          </w:tcPr>
          <w:p>
            <w:r>
              <w:rPr>
                <w:sz w:val="20"/>
              </w:rPr>
              <w:t>6 years</w:t>
            </w:r>
          </w:p>
        </w:tc>
      </w:tr>
    </w:tbl>
    <w:p/>
    <w:p>
      <w:pPr>
        <w:pStyle w:val="Heading2"/>
      </w:pPr>
      <w:r>
        <w:t>14. Verification (Acceptance Checks)</w:t>
      </w:r>
    </w:p>
    <w:p>
      <w:pPr>
        <w:pStyle w:val="ListBullet"/>
      </w:pPr>
      <w:r>
        <w:t>[ ] Regulatory posture document reviewed and approved by legal counsel</w:t>
      </w:r>
    </w:p>
    <w:p>
      <w:pPr>
        <w:pStyle w:val="ListBullet"/>
      </w:pPr>
      <w:r>
        <w:t>[ ] Security Officer role designated</w:t>
      </w:r>
    </w:p>
    <w:p>
      <w:pPr>
        <w:pStyle w:val="ListBullet"/>
      </w:pPr>
      <w:r>
        <w:t>[ ] BAA template prepared and reviewed by attorney</w:t>
      </w:r>
    </w:p>
    <w:p>
      <w:pPr>
        <w:pStyle w:val="ListBullet"/>
      </w:pPr>
      <w:r>
        <w:t>[ ] Cloud provider BAA executed (AWS)</w:t>
      </w:r>
    </w:p>
    <w:p>
      <w:pPr>
        <w:pStyle w:val="ListBullet"/>
      </w:pPr>
      <w:r>
        <w:t>[ ] Breach response plan documented and tested</w:t>
      </w:r>
    </w:p>
    <w:p>
      <w:pPr>
        <w:pStyle w:val="ListBullet"/>
      </w:pPr>
      <w:r>
        <w:t>[ ] Workforce training program established</w:t>
      </w:r>
    </w:p>
    <w:p>
      <w:pPr>
        <w:pStyle w:val="ListBullet"/>
      </w:pPr>
      <w:r>
        <w:t>[ ] Annual risk analysis process defined</w:t>
      </w:r>
    </w:p>
    <w:p>
      <w:pPr>
        <w:pStyle w:val="ListBullet"/>
      </w:pPr>
      <w:r>
        <w:t>[ ] Annual compliance audit cadence established</w:t>
      </w:r>
    </w:p>
    <w:p>
      <w:pPr>
        <w:pStyle w:val="ListBullet"/>
      </w:pPr>
      <w:r>
        <w:t>[ ] All spec documents updated to reflect HIPAA requirements (retention, encryption, de-identification)</w:t>
      </w:r>
    </w:p>
    <w:p>
      <w:pPr>
        <w:pStyle w:val="ListBullet"/>
      </w:pPr>
      <w:r>
        <w:t>[ ] HIPAA individual rights mapped to product features</w:t>
      </w:r>
    </w:p>
    <w:p>
      <w:r>
        <w:t>____________________________________________________________</w:t>
      </w:r>
    </w:p>
    <w:p>
      <w:pPr>
        <w:pStyle w:val="Heading2"/>
      </w:pPr>
      <w:r>
        <w:t>Cross-Reference: HIPAA Updates in Other Specs</w:t>
      </w:r>
    </w:p>
    <w:p>
      <w:r>
        <w:t>This regulatory posture document triggered updates in the following specifications: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Spec</w:t>
            </w:r>
          </w:p>
        </w:tc>
        <w:tc>
          <w:tcPr>
            <w:tcW w:type="dxa" w:w="3120"/>
          </w:tcPr>
          <w:p>
            <w:r>
              <w:rPr>
                <w:b/>
                <w:sz w:val="20"/>
              </w:rPr>
              <w:t>Update</w:t>
            </w:r>
          </w:p>
        </w:tc>
        <w:tc>
          <w:tcPr>
            <w:tcW w:type="dxa" w:w="3120"/>
          </w:tcPr>
          <w:p>
            <w:r>
              <w:rPr>
                <w:b/>
                <w:sz w:val="20"/>
              </w:rPr>
              <w:t>Section</w:t>
            </w:r>
          </w:p>
        </w:tc>
      </w:tr>
      <w:tr>
        <w:tc>
          <w:tcPr>
            <w:tcW w:type="dxa" w:w="3120"/>
          </w:tcPr>
          <w:p>
            <w:r>
              <w:rPr>
                <w:sz w:val="20"/>
              </w:rPr>
              <w:t>**02 — Context Preparation**</w:t>
            </w:r>
          </w:p>
        </w:tc>
        <w:tc>
          <w:tcPr>
            <w:tcW w:type="dxa" w:w="3120"/>
          </w:tcPr>
          <w:p>
            <w:r>
              <w:rPr>
                <w:sz w:val="20"/>
              </w:rPr>
              <w:t>Added Safe Harbor de-identification alignment</w:t>
            </w:r>
          </w:p>
        </w:tc>
        <w:tc>
          <w:tcPr>
            <w:tcW w:type="dxa" w:w="3120"/>
          </w:tcPr>
          <w:p>
            <w:r>
              <w:rPr>
                <w:sz w:val="20"/>
              </w:rPr>
              <w:t>§v3.0</w:t>
            </w:r>
          </w:p>
        </w:tc>
      </w:tr>
      <w:tr>
        <w:tc>
          <w:tcPr>
            <w:tcW w:type="dxa" w:w="3120"/>
          </w:tcPr>
          <w:p>
            <w:r>
              <w:rPr>
                <w:sz w:val="20"/>
              </w:rPr>
              <w:t>**03 — Storage &amp; Retention**</w:t>
            </w:r>
          </w:p>
        </w:tc>
        <w:tc>
          <w:tcPr>
            <w:tcW w:type="dxa" w:w="3120"/>
          </w:tcPr>
          <w:p>
            <w:r>
              <w:rPr>
                <w:sz w:val="20"/>
              </w:rPr>
              <w:t>Updated audit retention to 6 years; added TLS 1.2+ requirement; added contingency plan</w:t>
            </w:r>
          </w:p>
        </w:tc>
        <w:tc>
          <w:tcPr>
            <w:tcW w:type="dxa" w:w="3120"/>
          </w:tcPr>
          <w:p>
            <w:r>
              <w:rPr>
                <w:sz w:val="20"/>
              </w:rPr>
              <w:t>§v3.0</w:t>
            </w:r>
          </w:p>
        </w:tc>
      </w:tr>
      <w:tr>
        <w:tc>
          <w:tcPr>
            <w:tcW w:type="dxa" w:w="3120"/>
          </w:tcPr>
          <w:p>
            <w:r>
              <w:rPr>
                <w:sz w:val="20"/>
              </w:rPr>
              <w:t>**05 — Consent &amp; Sharing**</w:t>
            </w:r>
          </w:p>
        </w:tc>
        <w:tc>
          <w:tcPr>
            <w:tcW w:type="dxa" w:w="3120"/>
          </w:tcPr>
          <w:p>
            <w:r>
              <w:rPr>
                <w:sz w:val="20"/>
              </w:rPr>
              <w:t>Added Safe Harbor 18 identifiers reference; added HIPAA individual rights mapping</w:t>
            </w:r>
          </w:p>
        </w:tc>
        <w:tc>
          <w:tcPr>
            <w:tcW w:type="dxa" w:w="3120"/>
          </w:tcPr>
          <w:p>
            <w:r>
              <w:rPr>
                <w:sz w:val="20"/>
              </w:rPr>
              <w:t>§v3.0</w:t>
            </w:r>
          </w:p>
        </w:tc>
      </w:tr>
      <w:tr>
        <w:tc>
          <w:tcPr>
            <w:tcW w:type="dxa" w:w="3120"/>
          </w:tcPr>
          <w:p>
            <w:r>
              <w:rPr>
                <w:sz w:val="20"/>
              </w:rPr>
              <w:t>**06 — Audit Logging**</w:t>
            </w:r>
          </w:p>
        </w:tc>
        <w:tc>
          <w:tcPr>
            <w:tcW w:type="dxa" w:w="3120"/>
          </w:tcPr>
          <w:p>
            <w:r>
              <w:rPr>
                <w:sz w:val="20"/>
              </w:rPr>
              <w:t>Updated audit retention to 6 years</w:t>
            </w:r>
          </w:p>
        </w:tc>
        <w:tc>
          <w:tcPr>
            <w:tcW w:type="dxa" w:w="3120"/>
          </w:tcPr>
          <w:p>
            <w:r>
              <w:rPr>
                <w:sz w:val="20"/>
              </w:rPr>
              <w:t>§v3.0</w:t>
            </w:r>
          </w:p>
        </w:tc>
      </w:tr>
      <w:tr>
        <w:tc>
          <w:tcPr>
            <w:tcW w:type="dxa" w:w="3120"/>
          </w:tcPr>
          <w:p>
            <w:r>
              <w:rPr>
                <w:sz w:val="20"/>
              </w:rPr>
              <w:t>**07 — Identity &amp; Authentication**</w:t>
            </w:r>
          </w:p>
        </w:tc>
        <w:tc>
          <w:tcPr>
            <w:tcW w:type="dxa" w:w="3120"/>
          </w:tcPr>
          <w:p>
            <w:r>
              <w:rPr>
                <w:sz w:val="20"/>
              </w:rPr>
              <w:t>Added explicit TLS 1.2+ requirement</w:t>
            </w:r>
          </w:p>
        </w:tc>
        <w:tc>
          <w:tcPr>
            <w:tcW w:type="dxa" w:w="3120"/>
          </w:tcPr>
          <w:p>
            <w:r>
              <w:rPr>
                <w:sz w:val="20"/>
              </w:rPr>
              <w:t>§v3.0</w:t>
            </w:r>
          </w:p>
        </w:tc>
      </w:tr>
      <w:tr>
        <w:tc>
          <w:tcPr>
            <w:tcW w:type="dxa" w:w="3120"/>
          </w:tcPr>
          <w:p>
            <w:r>
              <w:rPr>
                <w:sz w:val="20"/>
              </w:rPr>
              <w:t>**Platform Dev Spec**</w:t>
            </w:r>
          </w:p>
        </w:tc>
        <w:tc>
          <w:tcPr>
            <w:tcW w:type="dxa" w:w="3120"/>
          </w:tcPr>
          <w:p>
            <w:r>
              <w:rPr>
                <w:sz w:val="20"/>
              </w:rPr>
              <w:t>Added regulatory framework section, BAA requirements, compliance roles</w:t>
            </w:r>
          </w:p>
        </w:tc>
        <w:tc>
          <w:tcPr>
            <w:tcW w:type="dxa" w:w="3120"/>
          </w:tcPr>
          <w:p>
            <w:r>
              <w:rPr>
                <w:sz w:val="20"/>
              </w:rPr>
              <w:t>§v2.0</w:t>
            </w:r>
          </w:p>
        </w:tc>
      </w:tr>
    </w:tbl>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