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— Audit Logging Policy (Phase 3.75)</w:t>
      </w:r>
    </w:p>
    <w:p>
      <w:r/>
      <w:r>
        <w:rPr>
          <w:b/>
        </w:rPr>
        <w:t>Consentext Platform — Layer Vault Specification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Phong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02.04.26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Initial draft (Phase 3.75)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Huy Nguyen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02.12.26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Blueprint iterations: audit as core product feature, agent access logging, output classification, tamper-evidence upgrade path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v3.0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Huy Nguyen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02.16.26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HIPAA compliance: 6-year audit retention requirement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0. Purpose</w:t>
      </w:r>
    </w:p>
    <w:p>
      <w:r>
        <w:t>Audit logging provides user-visible transparency and operational verification that Consentext enforces consent correctly.</w:t>
      </w:r>
    </w:p>
    <w:p>
      <w:r>
        <w:t>Audit logs must be:</w:t>
      </w:r>
    </w:p>
    <w:p>
      <w:pPr>
        <w:pStyle w:val="ListBullet"/>
      </w:pPr>
      <w:r>
        <w:t>Human-readable summaries (user-facing)</w:t>
      </w:r>
    </w:p>
    <w:p>
      <w:pPr>
        <w:pStyle w:val="ListBullet"/>
      </w:pPr>
      <w:r>
        <w:t>Comprehensive for all access decisions (allow + deny)</w:t>
      </w:r>
    </w:p>
    <w:p>
      <w:pPr>
        <w:pStyle w:val="ListBullet"/>
      </w:pPr>
      <w:r>
        <w:t>Free of PHI payloads and raw document contents</w:t>
      </w:r>
    </w:p>
    <w:p>
      <w:pPr>
        <w:pStyle w:val="Heading2"/>
      </w:pPr>
      <w:r>
        <w:t>1. Scope</w:t>
      </w:r>
    </w:p>
    <w:p>
      <w:r/>
      <w:r>
        <w:rPr>
          <w:b/>
        </w:rPr>
        <w:t>Applies to:</w:t>
      </w:r>
      <w:r/>
    </w:p>
    <w:p>
      <w:pPr>
        <w:pStyle w:val="ListBullet"/>
      </w:pPr>
      <w:r>
        <w:t>Consent policy lifecycle events</w:t>
      </w:r>
    </w:p>
    <w:p>
      <w:pPr>
        <w:pStyle w:val="ListBullet"/>
      </w:pPr>
      <w:r>
        <w:t>Share lifecycle events</w:t>
      </w:r>
    </w:p>
    <w:p>
      <w:pPr>
        <w:pStyle w:val="ListBullet"/>
      </w:pPr>
      <w:r>
        <w:t>Every context generation and access attempt</w:t>
      </w:r>
    </w:p>
    <w:p>
      <w:pPr>
        <w:pStyle w:val="ListBullet"/>
      </w:pPr>
      <w:r>
        <w:t>All enforcement denials (expired, revoked, scope mismatch, recipient mismatch, rate-limited, etc.)</w:t>
      </w:r>
    </w:p>
    <w:p>
      <w:pPr>
        <w:pStyle w:val="Heading2"/>
      </w:pPr>
      <w:r>
        <w:t>2. Principles (Non-Negotiable)</w:t>
      </w:r>
    </w:p>
    <w:p>
      <w:pPr>
        <w:pStyle w:val="ListBullet"/>
      </w:pPr>
      <w:r/>
      <w:r>
        <w:rPr>
          <w:b/>
        </w:rPr>
        <w:t>No PHI in audit logs.</w:t>
      </w:r>
      <w:r/>
    </w:p>
    <w:p>
      <w:pPr>
        <w:pStyle w:val="ListBullet"/>
      </w:pPr>
      <w:r/>
      <w:r>
        <w:rPr>
          <w:b/>
        </w:rPr>
        <w:t>Log at decision points</w:t>
      </w:r>
      <w:r>
        <w:t xml:space="preserve"> (request-time enforcement).</w:t>
      </w:r>
    </w:p>
    <w:p>
      <w:pPr>
        <w:pStyle w:val="ListBullet"/>
      </w:pPr>
      <w:r/>
      <w:r>
        <w:rPr>
          <w:b/>
        </w:rPr>
        <w:t>Users can view:</w:t>
      </w:r>
      <w:r>
        <w:t xml:space="preserve"> who/what/when/why/how long, plus allow/deny decisions.</w:t>
      </w:r>
    </w:p>
    <w:p>
      <w:pPr>
        <w:pStyle w:val="ListBullet"/>
      </w:pPr>
      <w:r/>
      <w:r>
        <w:rPr>
          <w:b/>
        </w:rPr>
        <w:t>Include denied attempts</w:t>
      </w:r>
      <w:r>
        <w:t xml:space="preserve"> for trust and debugging.</w:t>
      </w:r>
    </w:p>
    <w:p>
      <w:pPr>
        <w:pStyle w:val="Heading2"/>
      </w:pPr>
      <w:r>
        <w:t>3. Event Taxonomy (Minimum)</w:t>
      </w:r>
    </w:p>
    <w:p>
      <w:pPr>
        <w:pStyle w:val="Heading3"/>
      </w:pPr>
      <w:r>
        <w:t>3.1 Policy Lifecycle</w:t>
      </w:r>
    </w:p>
    <w:p>
      <w:pPr>
        <w:pStyle w:val="ListBullet"/>
      </w:pPr>
      <w:r>
        <w:t>`consent_policy_created`</w:t>
      </w:r>
    </w:p>
    <w:p>
      <w:pPr>
        <w:pStyle w:val="ListBullet"/>
      </w:pPr>
      <w:r>
        <w:t>`consent_policy_updated`</w:t>
      </w:r>
    </w:p>
    <w:p>
      <w:pPr>
        <w:pStyle w:val="ListBullet"/>
      </w:pPr>
      <w:r>
        <w:t>`consent_policy_retired`</w:t>
      </w:r>
    </w:p>
    <w:p>
      <w:pPr>
        <w:pStyle w:val="Heading3"/>
      </w:pPr>
      <w:r>
        <w:t>3.2 Share Lifecycle</w:t>
      </w:r>
    </w:p>
    <w:p>
      <w:pPr>
        <w:pStyle w:val="ListBullet"/>
      </w:pPr>
      <w:r>
        <w:t>`share_created`</w:t>
      </w:r>
    </w:p>
    <w:p>
      <w:pPr>
        <w:pStyle w:val="ListBullet"/>
      </w:pPr>
      <w:r>
        <w:t>`share_extended` (if time-bound extension exists)</w:t>
      </w:r>
    </w:p>
    <w:p>
      <w:pPr>
        <w:pStyle w:val="ListBullet"/>
      </w:pPr>
      <w:r>
        <w:t>`share_revoked`</w:t>
      </w:r>
    </w:p>
    <w:p>
      <w:pPr>
        <w:pStyle w:val="ListBullet"/>
      </w:pPr>
      <w:r>
        <w:t>`share_expired`</w:t>
      </w:r>
    </w:p>
    <w:p>
      <w:pPr>
        <w:pStyle w:val="Heading3"/>
      </w:pPr>
      <w:r>
        <w:t>3.3 Context Lifecycle</w:t>
      </w:r>
    </w:p>
    <w:p>
      <w:pPr>
        <w:pStyle w:val="ListBullet"/>
      </w:pPr>
      <w:r>
        <w:t>`context_generated`</w:t>
      </w:r>
    </w:p>
    <w:p>
      <w:pPr>
        <w:pStyle w:val="ListBullet"/>
      </w:pPr>
      <w:r>
        <w:t>`context_generation_denied`</w:t>
      </w:r>
    </w:p>
    <w:p>
      <w:pPr>
        <w:pStyle w:val="Heading3"/>
      </w:pPr>
      <w:r>
        <w:t>3.4 Access Attempts (Must Log Allow + Deny)</w:t>
      </w:r>
    </w:p>
    <w:p>
      <w:r/>
      <w:r>
        <w:rPr>
          <w:b/>
        </w:rPr>
        <w:t>AI export:</w:t>
      </w:r>
      <w:r/>
    </w:p>
    <w:p>
      <w:pPr>
        <w:pStyle w:val="ListBullet"/>
      </w:pPr>
      <w:r>
        <w:t>`ai_export_download_requested`</w:t>
      </w:r>
    </w:p>
    <w:p>
      <w:pPr>
        <w:pStyle w:val="ListBullet"/>
      </w:pPr>
      <w:r>
        <w:t>`ai_export_download_granted`</w:t>
      </w:r>
    </w:p>
    <w:p>
      <w:pPr>
        <w:pStyle w:val="ListBullet"/>
      </w:pPr>
      <w:r>
        <w:t>`ai_export_download_denied`</w:t>
      </w:r>
    </w:p>
    <w:p>
      <w:r/>
      <w:r>
        <w:rPr>
          <w:b/>
        </w:rPr>
        <w:t>API consumer:</w:t>
      </w:r>
      <w:r/>
    </w:p>
    <w:p>
      <w:pPr>
        <w:pStyle w:val="ListBullet"/>
      </w:pPr>
      <w:r>
        <w:t>`api_context_fetch_requested`</w:t>
      </w:r>
    </w:p>
    <w:p>
      <w:pPr>
        <w:pStyle w:val="ListBullet"/>
      </w:pPr>
      <w:r>
        <w:t>`api_context_fetch_granted`</w:t>
      </w:r>
    </w:p>
    <w:p>
      <w:pPr>
        <w:pStyle w:val="ListBullet"/>
      </w:pPr>
      <w:r>
        <w:t>`api_context_fetch_denied`</w:t>
      </w:r>
    </w:p>
    <w:p>
      <w:r/>
      <w:r>
        <w:rPr>
          <w:b/>
        </w:rPr>
        <w:t>Abuse/cost controls:</w:t>
      </w:r>
      <w:r/>
    </w:p>
    <w:p>
      <w:pPr>
        <w:pStyle w:val="ListBullet"/>
      </w:pPr>
      <w:r>
        <w:t>`rate_limited`</w:t>
      </w:r>
    </w:p>
    <w:p>
      <w:pPr>
        <w:pStyle w:val="ListBullet"/>
      </w:pPr>
      <w:r>
        <w:t>`quota_exceeded`</w:t>
      </w:r>
    </w:p>
    <w:p>
      <w:r/>
      <w:r>
        <w:rPr>
          <w:b/>
        </w:rPr>
        <w:t>Operational:</w:t>
      </w:r>
      <w:r/>
    </w:p>
    <w:p>
      <w:pPr>
        <w:pStyle w:val="ListBullet"/>
      </w:pPr>
      <w:r>
        <w:t>`auth_failed`</w:t>
      </w:r>
    </w:p>
    <w:p>
      <w:pPr>
        <w:pStyle w:val="ListBullet"/>
      </w:pPr>
      <w:r>
        <w:t>`recipient_verification_failed`</w:t>
      </w:r>
    </w:p>
    <w:p>
      <w:pPr>
        <w:pStyle w:val="Heading2"/>
      </w:pPr>
      <w:r>
        <w:t>4. AuditEvent Schema (Authoritative)</w:t>
      </w:r>
    </w:p>
    <w:p>
      <w:r/>
      <w:r>
        <w:rPr>
          <w:b/>
        </w:rPr>
        <w:t>Required fields:</w:t>
      </w:r>
      <w:r/>
    </w:p>
    <w:p>
      <w:pPr>
        <w:pStyle w:val="ListBullet"/>
      </w:pPr>
      <w:r>
        <w:t>`event_id` (UUID)</w:t>
      </w:r>
    </w:p>
    <w:p>
      <w:pPr>
        <w:pStyle w:val="ListBullet"/>
      </w:pPr>
      <w:r>
        <w:t>`timestamp`</w:t>
      </w:r>
    </w:p>
    <w:p>
      <w:pPr>
        <w:pStyle w:val="ListBullet"/>
      </w:pPr>
      <w:r>
        <w:t>`environment`: dev | staging | prod</w:t>
      </w:r>
    </w:p>
    <w:p>
      <w:pPr>
        <w:pStyle w:val="ListBullet"/>
      </w:pPr>
      <w:r>
        <w:t>`tenant_id`</w:t>
      </w:r>
    </w:p>
    <w:p>
      <w:pPr>
        <w:pStyle w:val="ListBullet"/>
      </w:pPr>
      <w:r>
        <w:t>`user_id`</w:t>
      </w:r>
    </w:p>
    <w:p>
      <w:pPr>
        <w:pStyle w:val="ListBullet"/>
      </w:pPr>
      <w:r>
        <w:t>`policy_id` (nullable if not applicable)</w:t>
      </w:r>
    </w:p>
    <w:p>
      <w:pPr>
        <w:pStyle w:val="ListBullet"/>
      </w:pPr>
      <w:r>
        <w:t>`share_id` (nullable if not applicable)</w:t>
      </w:r>
    </w:p>
    <w:p>
      <w:pPr>
        <w:pStyle w:val="ListBullet"/>
      </w:pPr>
      <w:r>
        <w:t>`recipient_type`: ai_export | api_consumer | org_recipient</w:t>
      </w:r>
    </w:p>
    <w:p>
      <w:pPr>
        <w:pStyle w:val="ListBullet"/>
      </w:pPr>
      <w:r>
        <w:t>`recipient_id` (nullable for ai_export if only "labeling")</w:t>
      </w:r>
    </w:p>
    <w:p>
      <w:r/>
      <w:r>
        <w:rPr>
          <w:b/>
        </w:rPr>
        <w:t>Action:</w:t>
      </w:r>
      <w:r/>
    </w:p>
    <w:p>
      <w:pPr>
        <w:pStyle w:val="ListBullet"/>
      </w:pPr>
      <w:r>
        <w:t>`action` (from taxonomy)</w:t>
      </w:r>
    </w:p>
    <w:p>
      <w:pPr>
        <w:pStyle w:val="ListBullet"/>
      </w:pPr>
      <w:r>
        <w:t>`decision`: allow | deny</w:t>
      </w:r>
    </w:p>
    <w:p>
      <w:pPr>
        <w:pStyle w:val="ListBullet"/>
      </w:pPr>
      <w:r>
        <w:t>`reason_code` (enum, see §5)</w:t>
      </w:r>
    </w:p>
    <w:p>
      <w:pPr>
        <w:pStyle w:val="ListBullet"/>
      </w:pPr>
      <w:r>
        <w:t>`request_id` / `correlation_id` (for tracing)</w:t>
      </w:r>
    </w:p>
    <w:p>
      <w:pPr>
        <w:pStyle w:val="ListBullet"/>
      </w:pPr>
      <w:r>
        <w:t>`client_metadata` (minimal; no PHI)</w:t>
      </w:r>
    </w:p>
    <w:p>
      <w:r/>
      <w:r>
        <w:rPr>
          <w:b/>
        </w:rPr>
        <w:t>User-facing summary:</w:t>
      </w:r>
      <w:r/>
    </w:p>
    <w:p>
      <w:pPr>
        <w:pStyle w:val="ListBullet"/>
      </w:pPr>
      <w:r>
        <w:t>`summary_sentence` (human-readable)</w:t>
      </w:r>
    </w:p>
    <w:p>
      <w:pPr>
        <w:pStyle w:val="ListBullet"/>
      </w:pPr>
      <w:r>
        <w:t>`scope_summary` (categories + time window; no PHI)</w:t>
      </w:r>
    </w:p>
    <w:p>
      <w:pPr>
        <w:pStyle w:val="ListBullet"/>
      </w:pPr>
      <w:r>
        <w:t>`duration_summary` (expiry time; "one-time")</w:t>
      </w:r>
    </w:p>
    <w:p>
      <w:r/>
      <w:r>
        <w:rPr>
          <w:b/>
        </w:rPr>
        <w:t>IMPORTANT:</w:t>
      </w:r>
      <w:r>
        <w:t xml:space="preserve"> If share metadata retention is shorter than audit retention, each audit event must include a share snapshot:</w:t>
      </w:r>
    </w:p>
    <w:p>
      <w:pPr>
        <w:pStyle w:val="ListBullet"/>
      </w:pPr>
      <w:r>
        <w:t>`share_snapshot`:</w:t>
      </w:r>
    </w:p>
    <w:p>
      <w:pPr>
        <w:pStyle w:val="ListBullet"/>
      </w:pPr>
      <w:r>
        <w:t>`recipient_display_name` (if any)</w:t>
      </w:r>
    </w:p>
    <w:p>
      <w:pPr>
        <w:pStyle w:val="ListBullet"/>
      </w:pPr>
      <w:r>
        <w:t>`categories`</w:t>
      </w:r>
    </w:p>
    <w:p>
      <w:pPr>
        <w:pStyle w:val="ListBullet"/>
      </w:pPr>
      <w:r>
        <w:t>`time_window`</w:t>
      </w:r>
    </w:p>
    <w:p>
      <w:pPr>
        <w:pStyle w:val="ListBullet"/>
      </w:pPr>
      <w:r>
        <w:t>`granularity`</w:t>
      </w:r>
    </w:p>
    <w:p>
      <w:pPr>
        <w:pStyle w:val="ListBullet"/>
      </w:pPr>
      <w:r>
        <w:t>`identifiers_included` (boolean)</w:t>
      </w:r>
    </w:p>
    <w:p>
      <w:pPr>
        <w:pStyle w:val="ListBullet"/>
      </w:pPr>
      <w:r>
        <w:t>`expires_at`</w:t>
      </w:r>
    </w:p>
    <w:p>
      <w:pPr>
        <w:pStyle w:val="Heading2"/>
      </w:pPr>
      <w:r>
        <w:t>5. Reason Code Enum (Minimum)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Code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`share_not_found`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 matching share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`share_inactive`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Share is not in active state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`share_expired`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Share past expiry date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`share_revoked`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Share was revoked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`scope_mismatch`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Requested data outside share scope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`pod_disallowed_for_recipient`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Pod type blocked for this recipient type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`identifiers_disallowed`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Identity fields blocked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`records_disallowed_for_ai`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Records pod blocked for AI export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`biomarker_doc_not_safe_for_ai`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Cannot safely share biomarker doc with AI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`recipient_mismatch`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Caller doesn't match share recipient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`recipient_verification_failed`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Verification check failed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`auth_failed`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Authentication failed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`rate_limited`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Rate limit exceeded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`quota_exceeded`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Access quota exhausted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`internal_error_fail_closed`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Internal error, failing closed</w:t>
            </w:r>
          </w:p>
        </w:tc>
      </w:tr>
    </w:tbl>
    <w:p/>
    <w:p>
      <w:pPr>
        <w:pStyle w:val="Heading2"/>
      </w:pPr>
      <w:r>
        <w:t>6. User-Facing Audit UX Requirements</w:t>
      </w:r>
    </w:p>
    <w:p>
      <w:r/>
      <w:r>
        <w:rPr>
          <w:b/>
        </w:rPr>
        <w:t>Required MVP views:</w:t>
      </w:r>
      <w:r/>
    </w:p>
    <w:p>
      <w:pPr>
        <w:pStyle w:val="ListBullet"/>
      </w:pPr>
      <w:r>
        <w:t>Active shares dashboard (with revoke control)</w:t>
      </w:r>
    </w:p>
    <w:p>
      <w:pPr>
        <w:pStyle w:val="ListBullet"/>
      </w:pPr>
      <w:r>
        <w:t>Share detail view with:</w:t>
      </w:r>
    </w:p>
    <w:p>
      <w:pPr>
        <w:pStyle w:val="ListBullet"/>
      </w:pPr>
      <w:r>
        <w:t>Policy snapshot</w:t>
      </w:r>
    </w:p>
    <w:p>
      <w:pPr>
        <w:pStyle w:val="ListBullet"/>
      </w:pPr>
      <w:r>
        <w:t>Access timeline (allow + deny)</w:t>
      </w:r>
    </w:p>
    <w:p>
      <w:pPr>
        <w:pStyle w:val="ListBullet"/>
      </w:pPr>
      <w:r>
        <w:t>Reason codes rendered as plain language</w:t>
      </w:r>
    </w:p>
    <w:p>
      <w:pPr>
        <w:pStyle w:val="ListBullet"/>
      </w:pPr>
      <w:r>
        <w:t>Global audit feed with filters (recipient, decision, date)</w:t>
      </w:r>
    </w:p>
    <w:p>
      <w:pPr>
        <w:pStyle w:val="ListBullet"/>
      </w:pPr>
      <w:r>
        <w:t>Export audit history (CSV/JSON)</w:t>
      </w:r>
    </w:p>
    <w:p>
      <w:r/>
      <w:r>
        <w:rPr>
          <w:b/>
        </w:rPr>
        <w:t>Plain-language examples:</w:t>
      </w:r>
      <w:r/>
    </w:p>
    <w:p>
      <w:pPr>
        <w:pStyle w:val="ListBullet"/>
      </w:pPr>
      <w:r>
        <w:t>"API consumer X fetched your wearable summaries (last 14 days) under Share ABC on YYYY-MM-DD."</w:t>
      </w:r>
    </w:p>
    <w:p>
      <w:pPr>
        <w:pStyle w:val="ListBullet"/>
      </w:pPr>
      <w:r>
        <w:t>"Download denied: Share expired on YYYY-MM-DD."</w:t>
      </w:r>
    </w:p>
    <w:p>
      <w:pPr>
        <w:pStyle w:val="Heading2"/>
      </w:pPr>
      <w:r>
        <w:t>7. Access Control for Audit Logs</w:t>
      </w:r>
    </w:p>
    <w:p>
      <w:pPr>
        <w:pStyle w:val="ListBullet"/>
      </w:pPr>
      <w:r>
        <w:t>Users can view and export their own audit logs.</w:t>
      </w:r>
    </w:p>
    <w:p>
      <w:pPr>
        <w:pStyle w:val="ListBullet"/>
      </w:pPr>
      <w:r>
        <w:t>Tenant/org admins can view logs only for users within their tenant, subject to role permissions.</w:t>
      </w:r>
    </w:p>
    <w:p>
      <w:pPr>
        <w:pStyle w:val="ListBullet"/>
      </w:pPr>
      <w:r>
        <w:t>Internal/support access is "break-glass" only (TBD policy + approvals), and must itself be audited.</w:t>
      </w:r>
    </w:p>
    <w:p>
      <w:pPr>
        <w:pStyle w:val="Heading2"/>
      </w:pPr>
      <w:r>
        <w:t>8. Retention + Deletion Policy</w:t>
      </w:r>
    </w:p>
    <w:p>
      <w:r/>
      <w:r>
        <w:rPr>
          <w:b/>
        </w:rPr>
        <w:t>Defaults (MVP):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Retention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**AuditEvents**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**6 years**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HIPAA requires 6-year retention for policies, procedures, and action documentation (45 CFR §164.530(j)). 30-day notice before deletion (user-visible).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**Share metadata**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90 days (snapshot preserved in audit events for 6 years)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Audit must include share snapshot to remain intelligible for the full 6-year retention window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**Vault data**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Until user deletes OR 12 months inactivity + 30-day notice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</w:tbl>
    <w:p/>
    <w:p>
      <w:r/>
      <w:r>
        <w:rPr>
          <w:b/>
        </w:rPr>
        <w:t>Deletion must:</w:t>
      </w:r>
      <w:r/>
    </w:p>
    <w:p>
      <w:pPr>
        <w:pStyle w:val="ListBullet"/>
      </w:pPr>
      <w:r>
        <w:t>Remove payload references from audit logs (already prohibited)</w:t>
      </w:r>
    </w:p>
    <w:p>
      <w:pPr>
        <w:pStyle w:val="ListBullet"/>
      </w:pPr>
      <w:r>
        <w:t>Preserve only non-PHI summaries until retention window ends</w:t>
      </w:r>
    </w:p>
    <w:p>
      <w:pPr>
        <w:pStyle w:val="Heading2"/>
      </w:pPr>
      <w:r>
        <w:t>9. Tamper Evidence (Optional for Phase 3.75; Recommended Posture)</w:t>
      </w:r>
    </w:p>
    <w:p>
      <w:r/>
      <w:r>
        <w:rPr>
          <w:b/>
        </w:rPr>
        <w:t>Minimum stance:</w:t>
      </w:r>
      <w:r/>
    </w:p>
    <w:p>
      <w:pPr>
        <w:pStyle w:val="ListBullet"/>
      </w:pPr>
      <w:r>
        <w:t>Append-only storage for audit events (no updates in place)</w:t>
      </w:r>
    </w:p>
    <w:p>
      <w:pPr>
        <w:pStyle w:val="ListBullet"/>
      </w:pPr>
      <w:r>
        <w:t>Access to audit store is restricted (least privilege)</w:t>
      </w:r>
    </w:p>
    <w:p>
      <w:r/>
      <w:r>
        <w:rPr>
          <w:b/>
        </w:rPr>
        <w:t>Optional enhancement:</w:t>
      </w:r>
      <w:r/>
    </w:p>
    <w:p>
      <w:pPr>
        <w:pStyle w:val="ListBullet"/>
      </w:pPr>
      <w:r>
        <w:t>Hash-chained events per tenant/user to provide tamper-evidence</w:t>
      </w:r>
    </w:p>
    <w:p>
      <w:r>
        <w:t>(TBD; requires senior engineering decision.)</w:t>
      </w:r>
    </w:p>
    <w:p>
      <w:pPr>
        <w:pStyle w:val="Heading2"/>
      </w:pPr>
      <w:r>
        <w:t>10. Environments and Logging Hygiene</w:t>
      </w:r>
    </w:p>
    <w:p>
      <w:pPr>
        <w:pStyle w:val="ListBullet"/>
      </w:pPr>
      <w:r>
        <w:t>No PHI in logs in any environment.</w:t>
      </w:r>
    </w:p>
    <w:p>
      <w:pPr>
        <w:pStyle w:val="ListBullet"/>
      </w:pPr>
      <w:r>
        <w:t>Staging must not use real sensitive user data.</w:t>
      </w:r>
    </w:p>
    <w:p>
      <w:pPr>
        <w:pStyle w:val="ListBullet"/>
      </w:pPr>
      <w:r>
        <w:t>Ensure environment separation (secrets, storage, keys).</w:t>
      </w:r>
    </w:p>
    <w:p>
      <w:pPr>
        <w:pStyle w:val="Heading2"/>
      </w:pPr>
      <w:r>
        <w:t>11. Verification (Acceptance Checks)</w:t>
      </w:r>
    </w:p>
    <w:p>
      <w:pPr>
        <w:pStyle w:val="ListBullet"/>
      </w:pPr>
      <w:r>
        <w:t>[ ] Audit events emitted for all policy lifecycle changes</w:t>
      </w:r>
    </w:p>
    <w:p>
      <w:pPr>
        <w:pStyle w:val="ListBullet"/>
      </w:pPr>
      <w:r>
        <w:t>[ ] Audit events emitted for all share lifecycle changes</w:t>
      </w:r>
    </w:p>
    <w:p>
      <w:pPr>
        <w:pStyle w:val="ListBullet"/>
      </w:pPr>
      <w:r>
        <w:t>[ ] Both allow and deny access attempts are logged with reason codes</w:t>
      </w:r>
    </w:p>
    <w:p>
      <w:pPr>
        <w:pStyle w:val="ListBullet"/>
      </w:pPr>
      <w:r>
        <w:t>[ ] User-facing audit viewer shows plain-language summaries</w:t>
      </w:r>
    </w:p>
    <w:p>
      <w:pPr>
        <w:pStyle w:val="ListBullet"/>
      </w:pPr>
      <w:r>
        <w:t>[ ] Audit export produces valid CSV/JSON</w:t>
      </w:r>
    </w:p>
    <w:p>
      <w:pPr>
        <w:pStyle w:val="ListBullet"/>
      </w:pPr>
      <w:r>
        <w:t>[ ] No PHI appears in any audit event</w:t>
      </w:r>
    </w:p>
    <w:p>
      <w:pPr>
        <w:pStyle w:val="ListBullet"/>
      </w:pPr>
      <w:r>
        <w:t>[ ] Share snapshots preserved in audit events for long-term intelligibility</w:t>
      </w:r>
    </w:p>
    <w:p>
      <w:r>
        <w:t>____________________________________________________________</w:t>
      </w:r>
    </w:p>
    <w:p>
      <w:pPr>
        <w:pStyle w:val="Heading2"/>
      </w:pPr>
      <w:r>
        <w:t>v2.0 Iteration — Blueprint Additions</w:t>
      </w:r>
    </w:p>
    <w:p>
      <w:pPr>
        <w:pStyle w:val="Heading3"/>
      </w:pPr>
      <w:r>
        <w:t>Audit as Core Product Feature</w:t>
      </w:r>
    </w:p>
    <w:p>
      <w:r>
        <w:t>Per the Blueprint, the audit trail is not just an operational requirement — it is a core product differentiator and a trust signal to users. The user-facing audit viewer should be treated as a first-class product surface, not an admin afterthought.</w:t>
      </w:r>
    </w:p>
    <w:p>
      <w:r>
        <w:t>Requirements:</w:t>
      </w:r>
    </w:p>
    <w:p>
      <w:pPr>
        <w:pStyle w:val="ListBullet"/>
      </w:pPr>
      <w:r>
        <w:t>The audit viewer must be accessible from the main navigation (not buried in settings)</w:t>
      </w:r>
    </w:p>
    <w:p>
      <w:pPr>
        <w:pStyle w:val="ListBullet"/>
      </w:pPr>
      <w:r>
        <w:t>Every share and access event should produce a notification-style entry the user can review</w:t>
      </w:r>
    </w:p>
    <w:p>
      <w:pPr>
        <w:pStyle w:val="ListBullet"/>
      </w:pPr>
      <w:r>
        <w:t>The audit feed should support "what happened today" as a default view</w:t>
      </w:r>
    </w:p>
    <w:p>
      <w:pPr>
        <w:pStyle w:val="ListBullet"/>
      </w:pPr>
      <w:r>
        <w:t>Users should be able to share their audit history (e.g., with a compliance officer or attorney) via a secure, time-limited export link</w:t>
      </w:r>
    </w:p>
    <w:p>
      <w:pPr>
        <w:pStyle w:val="Heading3"/>
      </w:pPr>
      <w:r>
        <w:t>Agent Access Logging</w:t>
      </w:r>
    </w:p>
    <w:p>
      <w:r>
        <w:t>When agents access data through the Agent/API Gateway, audit events must capture additional fields:</w:t>
      </w:r>
    </w:p>
    <w:p>
      <w:pPr>
        <w:pStyle w:val="ListBullet"/>
      </w:pPr>
      <w:r>
        <w:t>`principal_type`: user | agent | api_consumer (new field)</w:t>
      </w:r>
    </w:p>
    <w:p>
      <w:pPr>
        <w:pStyle w:val="ListBullet"/>
      </w:pPr>
      <w:r>
        <w:t>`agent_id`: identifier for the specific agent (when principal_type = agent)</w:t>
      </w:r>
    </w:p>
    <w:p>
      <w:pPr>
        <w:pStyle w:val="ListBullet"/>
      </w:pPr>
      <w:r>
        <w:t>`agent_purpose`: the declared purpose of the agent's request</w:t>
      </w:r>
    </w:p>
    <w:p>
      <w:pPr>
        <w:pStyle w:val="ListBullet"/>
      </w:pPr>
      <w:r>
        <w:t>`tool_context`: the tool or action the agent was performing when it requested data (if available)</w:t>
      </w:r>
    </w:p>
    <w:p>
      <w:r>
        <w:t xml:space="preserve">Agent access events use the same taxonomy (e.g., </w:t>
      </w:r>
      <w:r>
        <w:rPr>
          <w:rFonts w:ascii="Consolas" w:hAnsi="Consolas"/>
          <w:color w:val="800000"/>
          <w:sz w:val="20"/>
        </w:rPr>
        <w:t>api_context_fetch_granted</w:t>
      </w:r>
      <w:r>
        <w:t xml:space="preserve">) but are distinguishable by </w:t>
      </w:r>
      <w:r>
        <w:rPr>
          <w:rFonts w:ascii="Consolas" w:hAnsi="Consolas"/>
          <w:color w:val="800000"/>
          <w:sz w:val="20"/>
        </w:rPr>
        <w:t>principal_type = agent</w:t>
      </w:r>
      <w:r>
        <w:t>. This enables filtering the audit feed by "agent access" vs "human access."</w:t>
      </w:r>
    </w:p>
    <w:p>
      <w:pPr>
        <w:pStyle w:val="Heading3"/>
      </w:pPr>
      <w:r>
        <w:t>Output Classification in Audit</w:t>
      </w:r>
    </w:p>
    <w:p>
      <w:r>
        <w:t xml:space="preserve">Each </w:t>
      </w:r>
      <w:r>
        <w:rPr>
          <w:rFonts w:ascii="Consolas" w:hAnsi="Consolas"/>
          <w:color w:val="800000"/>
          <w:sz w:val="20"/>
        </w:rPr>
        <w:t>context_generated</w:t>
      </w:r>
      <w:r>
        <w:t xml:space="preserve"> audit event should include an </w:t>
      </w:r>
      <w:r>
        <w:rPr>
          <w:rFonts w:ascii="Consolas" w:hAnsi="Consolas"/>
          <w:color w:val="800000"/>
          <w:sz w:val="20"/>
        </w:rPr>
        <w:t>output_classification</w:t>
      </w:r>
      <w:r>
        <w:t xml:space="preserve"> field indicating what type of data was released:</w:t>
      </w:r>
    </w:p>
    <w:p>
      <w:pPr>
        <w:pStyle w:val="ListBullet"/>
      </w:pPr>
      <w:r>
        <w:t>`derived_only` — only summarized/aggregated data</w:t>
      </w:r>
    </w:p>
    <w:p>
      <w:pPr>
        <w:pStyle w:val="ListBullet"/>
      </w:pPr>
      <w:r>
        <w:t>`raw_included` — raw data was part of the output</w:t>
      </w:r>
    </w:p>
    <w:p>
      <w:pPr>
        <w:pStyle w:val="ListBullet"/>
      </w:pPr>
      <w:r>
        <w:t>`identifiers_included` — identity fields were present (should only occur for non-AI recipients with explicit toggle)</w:t>
      </w:r>
    </w:p>
    <w:p>
      <w:r>
        <w:t>This allows users and auditors to quickly assess the sensitivity of each access event without inspecting the full payload manifest.</w:t>
      </w:r>
    </w:p>
    <w:p>
      <w:pPr>
        <w:pStyle w:val="Heading3"/>
      </w:pPr>
      <w:r>
        <w:t>Tamper-Evidence Upgrade Path</w:t>
      </w:r>
    </w:p>
    <w:p>
      <w:r>
        <w:t>While hash-chaining is optional in Phase 3.75, the Blueprint recommends designing the audit store to support it without migration:</w:t>
      </w:r>
    </w:p>
    <w:p>
      <w:pPr>
        <w:pStyle w:val="ListBullet"/>
      </w:pPr>
      <w:r>
        <w:t>Use an append-only table or event stream from day one (no UPDATE or DELETE on audit records)</w:t>
      </w:r>
    </w:p>
    <w:p>
      <w:pPr>
        <w:pStyle w:val="ListBullet"/>
      </w:pPr>
      <w:r>
        <w:t>Reserve a `prev_hash` column (nullable) in the AuditEvent schema for future hash-chaining</w:t>
      </w:r>
    </w:p>
    <w:p>
      <w:pPr>
        <w:pStyle w:val="ListBullet"/>
      </w:pPr>
      <w:r>
        <w:t>Reserve an `integrity_signature` column (nullable) for future cryptographic signing</w:t>
      </w:r>
    </w:p>
    <w:p>
      <w:pPr>
        <w:pStyle w:val="ListBullet"/>
      </w:pPr>
      <w:r>
        <w:t>When tamper-evidence is activated (Level 2+), populate these fields; until then, leave them null</w:t>
      </w:r>
    </w:p>
    <w:p>
      <w:r>
        <w:t>This approach avoids a schema migration when tamper-evidence is turned on and signals architectural intent to auditors reviewing the system design.</w:t>
      </w:r>
    </w:p>
    <w:p>
      <w:r>
        <w:t>____________________________________________________________</w:t>
      </w:r>
    </w:p>
    <w:p>
      <w:pPr>
        <w:pStyle w:val="Heading2"/>
      </w:pPr>
      <w:r>
        <w:t>v3.0 Iteration — HIPAA Compliance Additions</w:t>
      </w:r>
    </w:p>
    <w:p>
      <w:pPr>
        <w:pStyle w:val="Heading3"/>
      </w:pPr>
      <w:r>
        <w:t>Audit Retention Updated to 6 Years</w:t>
      </w:r>
    </w:p>
    <w:p>
      <w:r>
        <w:t xml:space="preserve">HIPAA requires that covered entities and business associates retain documentation of policies, procedures, and actions related to HIPAA compliance for </w:t>
      </w:r>
      <w:r>
        <w:rPr>
          <w:b/>
        </w:rPr>
        <w:t>6 years</w:t>
      </w:r>
      <w:r>
        <w:t xml:space="preserve"> from the date of creation or the date when it was last in effect, whichever is later (45 CFR §164.530(j)).</w:t>
      </w:r>
    </w:p>
    <w:p>
      <w:r>
        <w:t>The v2.0 audit retention of 12 months was a product-level default but was insufficient for HIPAA compliance when Consentext operates as a Business Associate (clinical portal). The retention has been updated to 6 years in §8 above.</w:t>
      </w:r>
    </w:p>
    <w:p>
      <w:r/>
      <w:r>
        <w:rPr>
          <w:b/>
        </w:rPr>
        <w:t>Implementation considerations:</w:t>
      </w:r>
      <w:r/>
    </w:p>
    <w:p>
      <w:pPr>
        <w:pStyle w:val="ListBullet"/>
      </w:pPr>
      <w:r/>
      <w:r>
        <w:rPr>
          <w:b/>
        </w:rPr>
        <w:t>Tiered storage:</w:t>
      </w:r>
      <w:r>
        <w:t xml:space="preserve"> 6-year retention significantly increases storage volume. Use hot storage for recent events (e.g., last 90 days) and cold/archival storage for older events. All tiers must remain queryable for compliance purposes.</w:t>
      </w:r>
    </w:p>
    <w:p>
      <w:pPr>
        <w:pStyle w:val="ListBullet"/>
      </w:pPr>
      <w:r/>
      <w:r>
        <w:rPr>
          <w:b/>
        </w:rPr>
        <w:t>Share snapshot importance:</w:t>
      </w:r>
      <w:r>
        <w:t xml:space="preserve"> Since share metadata retention (90 days) is much shorter than audit retention (6 years), share snapshots in audit events are critical. Without them, audit events from months/years ago become unintelligible. The share snapshot requirement from §4 is now even more important.</w:t>
      </w:r>
    </w:p>
    <w:p>
      <w:pPr>
        <w:pStyle w:val="ListBullet"/>
      </w:pPr>
      <w:r/>
      <w:r>
        <w:rPr>
          <w:b/>
        </w:rPr>
        <w:t>Accounting of disclosures:</w:t>
      </w:r>
      <w:r>
        <w:t xml:space="preserve"> HIPAA's Right to an Accounting of Disclosures (§164.528) requires providing individuals with a record of disclosures from the prior 6 years. The audit log directly serves this function.</w:t>
      </w:r>
    </w:p>
    <w:p>
      <w:pPr>
        <w:pStyle w:val="ListBullet"/>
      </w:pPr>
      <w:r/>
      <w:r>
        <w:rPr>
          <w:b/>
        </w:rPr>
        <w:t>Deletion behavior:</w:t>
      </w:r>
      <w:r>
        <w:t xml:space="preserve"> Audit events must not be deleted before the 6-year window. Even if a user deletes their account, audit summaries (non-PHI) must be retained for the compliance period.</w:t>
      </w:r>
    </w:p>
    <w:p>
      <w:pPr>
        <w:pStyle w:val="Heading3"/>
      </w:pPr>
      <w:r>
        <w:t>Cross-Reference</w:t>
      </w:r>
    </w:p>
    <w:p>
      <w:r>
        <w:t xml:space="preserve">See </w:t>
      </w:r>
      <w:r>
        <w:rPr>
          <w:rFonts w:ascii="Consolas" w:hAnsi="Consolas"/>
          <w:color w:val="800000"/>
          <w:sz w:val="20"/>
        </w:rPr>
        <w:t>00_Regulatory_Compliance_Posture.md</w:t>
      </w:r>
      <w:r>
        <w:t xml:space="preserve"> for the full HIPAA regulatory framework, breach notification procedures, and the complete 6-year retention table.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