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03 — Storage &amp; Retention Policy (Phase 3.75)</w:t>
      </w:r>
    </w:p>
    <w:p>
      <w:r/>
      <w:r>
        <w:rPr>
          <w:b/>
        </w:rPr>
        <w:t>Consentext Platform — Layer Vault Specification</w:t>
      </w:r>
      <w:r/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Author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v1.0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Phong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02.04.26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Initial draft (Phase 3.75)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v2.0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Huy Nguyen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02.12.26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Blueprint iterations: envelope encryption, tamper-evident audit, cache invalidation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v3.0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Huy Nguyen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02.16.26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HIPAA compliance: 6-year audit retention, TLS 1.2+ requirement, contingency/disaster recovery plan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0. Purpose</w:t>
      </w:r>
    </w:p>
    <w:p>
      <w:r>
        <w:t>This document defines how Consentext data is stored (metadata + payloads), retention and cleanup rules, deletion and archival behavior, and environment separation expectations.</w:t>
      </w:r>
    </w:p>
    <w:p>
      <w:pPr>
        <w:pStyle w:val="Heading2"/>
      </w:pPr>
      <w:r>
        <w:t>1. Storage Model</w:t>
      </w:r>
    </w:p>
    <w:p>
      <w:pPr>
        <w:pStyle w:val="Heading3"/>
      </w:pPr>
      <w:r>
        <w:t>1.1 Separation of Concerns</w:t>
      </w:r>
    </w:p>
    <w:p>
      <w:pPr>
        <w:pStyle w:val="ListNumber"/>
      </w:pPr>
      <w:r/>
      <w:r>
        <w:rPr>
          <w:b/>
        </w:rPr>
        <w:t>Metadata store (DB):</w:t>
      </w:r>
      <w:r>
        <w:t xml:space="preserve"> VaultItem metadata, ConsentPolicy, Share, recipient records, audit event records</w:t>
      </w:r>
    </w:p>
    <w:p>
      <w:pPr>
        <w:pStyle w:val="ListNumber"/>
      </w:pPr>
      <w:r/>
      <w:r>
        <w:rPr>
          <w:b/>
        </w:rPr>
        <w:t>Payload store (object/blob storage):</w:t>
      </w:r>
      <w:r>
        <w:t xml:space="preserve"> Documents and large payloads addressed by `storage_ref`</w:t>
      </w:r>
    </w:p>
    <w:p>
      <w:pPr>
        <w:pStyle w:val="Heading3"/>
      </w:pPr>
      <w:r>
        <w:t>1.2 Opaque References</w:t>
      </w:r>
    </w:p>
    <w:p>
      <w:pPr>
        <w:pStyle w:val="ListBullet"/>
      </w:pPr>
      <w:r>
        <w:t>`storage_ref` is an opaque pointer generated by Consentext (never user-controlled)</w:t>
      </w:r>
    </w:p>
    <w:p>
      <w:pPr>
        <w:pStyle w:val="ListBullet"/>
      </w:pPr>
      <w:r>
        <w:t>External callers never receive `storage_ref` or any internal object keys</w:t>
      </w:r>
    </w:p>
    <w:p>
      <w:pPr>
        <w:pStyle w:val="Heading3"/>
      </w:pPr>
      <w:r>
        <w:t>1.3 Environment Separation</w:t>
      </w:r>
    </w:p>
    <w:p>
      <w:r>
        <w:t>Dev/staging/prod must be isolated: separate secrets, separate storage buckets/containers, separate encryption keys. Staging must not store real sensitive user data.</w:t>
      </w:r>
    </w:p>
    <w:p>
      <w:pPr>
        <w:pStyle w:val="Heading2"/>
      </w:pPr>
      <w:r>
        <w:t>2. Security Baseline (Storage-Specific)</w:t>
      </w:r>
    </w:p>
    <w:p>
      <w:pPr>
        <w:pStyle w:val="ListBullet"/>
      </w:pPr>
      <w:r>
        <w:t>Encryption in transit for all storage access (</w:t>
      </w:r>
      <w:r>
        <w:rPr>
          <w:b/>
        </w:rPr>
        <w:t>TLS 1.2 minimum</w:t>
      </w:r>
      <w:r>
        <w:t>, TLS 1.3 preferred; TLS 1.0/1.1 disabled)</w:t>
      </w:r>
    </w:p>
    <w:p>
      <w:pPr>
        <w:pStyle w:val="ListBullet"/>
      </w:pPr>
      <w:r>
        <w:t>Encryption at rest for metadata and payload stores (</w:t>
      </w:r>
      <w:r>
        <w:rPr>
          <w:b/>
        </w:rPr>
        <w:t>AES-256</w:t>
      </w:r>
      <w:r>
        <w:t xml:space="preserve"> via envelope encryption)</w:t>
      </w:r>
    </w:p>
    <w:p>
      <w:pPr>
        <w:pStyle w:val="ListBullet"/>
      </w:pPr>
      <w:r>
        <w:t>Least-privilege IAM for storage access</w:t>
      </w:r>
    </w:p>
    <w:p>
      <w:pPr>
        <w:pStyle w:val="ListBullet"/>
      </w:pPr>
      <w:r>
        <w:t>Vault payload reads only through internal service identities (no direct edge reads)</w:t>
      </w:r>
    </w:p>
    <w:p>
      <w:pPr>
        <w:pStyle w:val="ListBullet"/>
      </w:pPr>
      <w:r>
        <w:t>Key management via KMS/HSM equivalent (exact provider TBD)</w:t>
      </w:r>
    </w:p>
    <w:p>
      <w:pPr>
        <w:pStyle w:val="Heading2"/>
      </w:pPr>
      <w:r>
        <w:t>3. Retention Policy (Defaults, MVP)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Data Type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Retention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**AuditEvents**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**6 years**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HIPAA requires 6-year retention for documentation of policies, procedures, and actions (45 CFR §164.530(j)). 30-day notice before deletion (user-visible).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**Share metadata**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90 days (snapshot preserved in audit events for 6 years)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Audit records must include non-sensitive share snapshot so audit history remains intelligible for the full 6-year retention period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**VaultItems**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Until user deletes OR 12 months inactivity + 30-day notice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"Inactivity" definition TBD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**Compliance documentation**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**6 years**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Risk analyses, BAAs, training records, policies/procedures per HIPAA requirement</w:t>
            </w:r>
          </w:p>
        </w:tc>
      </w:tr>
    </w:tbl>
    <w:p/>
    <w:p>
      <w:pPr>
        <w:pStyle w:val="Heading2"/>
      </w:pPr>
      <w:r>
        <w:t>4. Cleanup / Clutter Prevention</w:t>
      </w:r>
    </w:p>
    <w:p>
      <w:pPr>
        <w:pStyle w:val="Heading3"/>
      </w:pPr>
      <w:r>
        <w:t>4.1 Automatic Cleanup Jobs (Required)</w:t>
      </w:r>
    </w:p>
    <w:p>
      <w:pPr>
        <w:pStyle w:val="ListBullet"/>
      </w:pPr>
      <w:r>
        <w:t>Delete expired shares and prune old share metadata once retention is reached</w:t>
      </w:r>
    </w:p>
    <w:p>
      <w:pPr>
        <w:pStyle w:val="ListBullet"/>
      </w:pPr>
      <w:r>
        <w:t>Prune retired policy drafts per product decision</w:t>
      </w:r>
    </w:p>
    <w:p>
      <w:pPr>
        <w:pStyle w:val="ListBullet"/>
      </w:pPr>
      <w:r>
        <w:t>Apply Vault inactivity rules and issue notices before deletion</w:t>
      </w:r>
    </w:p>
    <w:p>
      <w:pPr>
        <w:pStyle w:val="ListBullet"/>
      </w:pPr>
      <w:r>
        <w:t>Clear temporary bundle artifacts/caches that are past TTL</w:t>
      </w:r>
    </w:p>
    <w:p>
      <w:pPr>
        <w:pStyle w:val="Heading3"/>
      </w:pPr>
      <w:r>
        <w:t>4.2 Derived Context Bundles and Caches</w:t>
      </w:r>
    </w:p>
    <w:p>
      <w:r>
        <w:t>If temporary bundles exist for AI export:</w:t>
      </w:r>
    </w:p>
    <w:p>
      <w:pPr>
        <w:pStyle w:val="ListBullet"/>
      </w:pPr>
      <w:r>
        <w:t>Bundles must have a short TTL (hours/days, not weeks)</w:t>
      </w:r>
    </w:p>
    <w:p>
      <w:pPr>
        <w:pStyle w:val="ListBullet"/>
      </w:pPr>
      <w:r>
        <w:t>Bundles must be invalidated on revoke/expire</w:t>
      </w:r>
    </w:p>
    <w:p>
      <w:pPr>
        <w:pStyle w:val="ListBullet"/>
      </w:pPr>
      <w:r>
        <w:t>Bundles must be stored separately from the Vault</w:t>
      </w:r>
    </w:p>
    <w:p>
      <w:pPr>
        <w:pStyle w:val="Heading2"/>
      </w:pPr>
      <w:r>
        <w:t>5. Deletion Behavior</w:t>
      </w:r>
    </w:p>
    <w:p>
      <w:pPr>
        <w:pStyle w:val="Heading3"/>
      </w:pPr>
      <w:r>
        <w:t>5.1 User-Initiated Deletion</w:t>
      </w:r>
    </w:p>
    <w:p>
      <w:pPr>
        <w:pStyle w:val="ListBullet"/>
      </w:pPr>
      <w:r>
        <w:t>Future access denied immediately (no stale shares can still retrieve it)</w:t>
      </w:r>
    </w:p>
    <w:p>
      <w:pPr>
        <w:pStyle w:val="ListBullet"/>
      </w:pPr>
      <w:r>
        <w:t>Payload removed or rendered inaccessible (hard delete or cryptographic delete)</w:t>
      </w:r>
    </w:p>
    <w:p>
      <w:pPr>
        <w:pStyle w:val="ListBullet"/>
      </w:pPr>
      <w:r>
        <w:t>Audit history must remain (summaries only; no PHI payload references)</w:t>
      </w:r>
    </w:p>
    <w:p>
      <w:pPr>
        <w:pStyle w:val="Heading3"/>
      </w:pPr>
      <w:r>
        <w:t>5.2 System-Initiated Deletion (Retention/Inactivity)</w:t>
      </w:r>
    </w:p>
    <w:p>
      <w:pPr>
        <w:pStyle w:val="ListBullet"/>
      </w:pPr>
      <w:r>
        <w:t>30-day notice where applicable</w:t>
      </w:r>
    </w:p>
    <w:p>
      <w:pPr>
        <w:pStyle w:val="ListBullet"/>
      </w:pPr>
      <w:r>
        <w:t>After deletion, system behaves as if data never existed for access purposes</w:t>
      </w:r>
    </w:p>
    <w:p>
      <w:pPr>
        <w:pStyle w:val="Heading2"/>
      </w:pPr>
      <w:r>
        <w:t>6. Backups and Recovery</w:t>
      </w:r>
    </w:p>
    <w:p>
      <w:pPr>
        <w:pStyle w:val="ListBullet"/>
      </w:pPr>
      <w:r>
        <w:t>Backups must not violate retention promises</w:t>
      </w:r>
    </w:p>
    <w:p>
      <w:pPr>
        <w:pStyle w:val="ListBullet"/>
      </w:pPr>
      <w:r>
        <w:t>Restore procedures must preserve audit integrity (append-only posture for audit store recommended)</w:t>
      </w:r>
    </w:p>
    <w:p>
      <w:pPr>
        <w:pStyle w:val="ListBullet"/>
      </w:pPr>
      <w:r>
        <w:t>Recovery access must be restricted and itself audited</w:t>
      </w:r>
    </w:p>
    <w:p>
      <w:pPr>
        <w:pStyle w:val="Heading2"/>
      </w:pPr>
      <w:r>
        <w:t>7. Verification (Acceptance Checks)</w:t>
      </w:r>
    </w:p>
    <w:p>
      <w:pPr>
        <w:pStyle w:val="ListBullet"/>
      </w:pPr>
      <w:r>
        <w:t>[ ] Environment separation validated (distinct storage + keys per env)</w:t>
      </w:r>
    </w:p>
    <w:p>
      <w:pPr>
        <w:pStyle w:val="ListBullet"/>
      </w:pPr>
      <w:r>
        <w:t>[ ] Expired share cannot fetch any data</w:t>
      </w:r>
    </w:p>
    <w:p>
      <w:pPr>
        <w:pStyle w:val="ListBullet"/>
      </w:pPr>
      <w:r>
        <w:t>[ ] Revoked share cannot fetch any data (even if cached bundle exists)</w:t>
      </w:r>
    </w:p>
    <w:p>
      <w:pPr>
        <w:pStyle w:val="ListBullet"/>
      </w:pPr>
      <w:r>
        <w:t>[ ] Cleanup job removes/archives data per retention windows</w:t>
      </w:r>
    </w:p>
    <w:p>
      <w:pPr>
        <w:pStyle w:val="ListBullet"/>
      </w:pPr>
      <w:r>
        <w:t>[ ] User deletion prevents future access and does not place PHI in logs</w:t>
      </w:r>
    </w:p>
    <w:p>
      <w:r>
        <w:t>____________________________________________________________</w:t>
      </w:r>
    </w:p>
    <w:p>
      <w:pPr>
        <w:pStyle w:val="Heading2"/>
      </w:pPr>
      <w:r>
        <w:t>v2.0 Iteration — Blueprint Additions</w:t>
      </w:r>
    </w:p>
    <w:p>
      <w:pPr>
        <w:pStyle w:val="Heading3"/>
      </w:pPr>
      <w:r>
        <w:t>Envelope Encryption Requirement</w:t>
      </w:r>
    </w:p>
    <w:p>
      <w:r>
        <w:t>Per the Senior Developer Blueprint, encryption at rest must use envelope encryption. Each user's data is encrypted with a unique data encryption key (DEK), which is itself encrypted by a master key managed by KMS. This enables cryptographic deletion (destroy the DEK to render data inaccessible without deleting individual records).</w:t>
      </w:r>
    </w:p>
    <w:p>
      <w:pPr>
        <w:pStyle w:val="Heading3"/>
      </w:pPr>
      <w:r>
        <w:t>Tamper-Evident Audit Store</w:t>
      </w:r>
    </w:p>
    <w:p>
      <w:r>
        <w:t>The Blueprint recommends the audit ledger be append-only with tamper-evident properties (hash-chaining per user/tenant). While optional in Phase 3.75, the storage layer should be designed to support this without migration. Recommendation: use an append-only table or event stream for audit events from day one.</w:t>
      </w:r>
    </w:p>
    <w:p>
      <w:pPr>
        <w:pStyle w:val="Heading3"/>
      </w:pPr>
      <w:r>
        <w:t>Cache Invalidation on Revocation</w:t>
      </w:r>
    </w:p>
    <w:p>
      <w:r>
        <w:t>Any cached context bundles or derived views must be invalidated immediately upon share revocation or policy change. Caches must never outlive share validity. This is an explicit requirement, not a recommendation. Invalidation must be synchronous with the trigger event.</w:t>
      </w:r>
    </w:p>
    <w:p>
      <w:r>
        <w:t>____________________________________________________________</w:t>
      </w:r>
    </w:p>
    <w:p>
      <w:pPr>
        <w:pStyle w:val="Heading2"/>
      </w:pPr>
      <w:r>
        <w:t>v3.0 Iteration — HIPAA Compliance Additions</w:t>
      </w:r>
    </w:p>
    <w:p>
      <w:pPr>
        <w:pStyle w:val="Heading3"/>
      </w:pPr>
      <w:r>
        <w:t>Audit Retention Updated to 6 Years</w:t>
      </w:r>
    </w:p>
    <w:p>
      <w:r>
        <w:t xml:space="preserve">HIPAA requires that covered entities and business associates retain documentation of policies, procedures, and actions for </w:t>
      </w:r>
      <w:r>
        <w:rPr>
          <w:b/>
        </w:rPr>
        <w:t>6 years</w:t>
      </w:r>
      <w:r>
        <w:t xml:space="preserve"> from the date of creation or the date when it was last in effect, whichever is later (45 CFR §164.530(j)).</w:t>
      </w:r>
    </w:p>
    <w:p>
      <w:r>
        <w:t>The v2.0 audit retention of 12 months was insufficient for HIPAA compliance. The retention for AuditEvents has been updated to 6 years in §3 above. This applies to:</w:t>
      </w:r>
    </w:p>
    <w:p>
      <w:pPr>
        <w:pStyle w:val="ListBullet"/>
      </w:pPr>
      <w:r>
        <w:t>All audit events (access allow/deny, policy lifecycle, share lifecycle, auth events)</w:t>
      </w:r>
    </w:p>
    <w:p>
      <w:pPr>
        <w:pStyle w:val="ListBullet"/>
      </w:pPr>
      <w:r>
        <w:t>Share snapshots embedded in audit events</w:t>
      </w:r>
    </w:p>
    <w:p>
      <w:pPr>
        <w:pStyle w:val="ListBullet"/>
      </w:pPr>
      <w:r>
        <w:t>Compliance-related documentation stored in the system</w:t>
      </w:r>
    </w:p>
    <w:p>
      <w:r/>
      <w:r>
        <w:rPr>
          <w:b/>
        </w:rPr>
        <w:t>Storage cost implication:</w:t>
      </w:r>
      <w:r>
        <w:t xml:space="preserve"> 6-year retention significantly increases storage requirements for audit data. Plan for tiered storage (hot/warm/cold) to manage costs while maintaining accessibility for compliance queries.</w:t>
      </w:r>
    </w:p>
    <w:p>
      <w:pPr>
        <w:pStyle w:val="Heading3"/>
      </w:pPr>
      <w:r>
        <w:t>Encryption in Transit: TLS 1.2+ Required</w:t>
      </w:r>
    </w:p>
    <w:p>
      <w:r>
        <w:t>Per HIPAA Security Rule (§164.312(e)(1)), Consentext must implement technical security measures to guard against unauthorized access to ePHI transmitted over electronic communications networks.</w:t>
      </w:r>
    </w:p>
    <w:p>
      <w:pPr>
        <w:pStyle w:val="ListBullet"/>
      </w:pPr>
      <w:r/>
      <w:r>
        <w:rPr>
          <w:b/>
        </w:rPr>
        <w:t>TLS 1.2</w:t>
      </w:r>
      <w:r>
        <w:t xml:space="preserve"> is the minimum acceptable version (TLS 1.3 preferred)</w:t>
      </w:r>
    </w:p>
    <w:p>
      <w:pPr>
        <w:pStyle w:val="ListBullet"/>
      </w:pPr>
      <w:r>
        <w:t>TLS 1.0 and 1.1 must be disabled on all endpoints</w:t>
      </w:r>
    </w:p>
    <w:p>
      <w:pPr>
        <w:pStyle w:val="ListBullet"/>
      </w:pPr>
      <w:r>
        <w:t>This applies to: all API endpoints, database connections, object storage access, internal service-to-service communication</w:t>
      </w:r>
    </w:p>
    <w:p>
      <w:pPr>
        <w:pStyle w:val="ListBullet"/>
      </w:pPr>
      <w:r>
        <w:t>NIST-compliant encryption (AES-256 at rest, TLS 1.2+ in transit) qualifies for the HIPAA breach notification Safe Harbor — if encrypted data is breached but keys are not compromised, it is not considered an unsecured breach</w:t>
      </w:r>
    </w:p>
    <w:p>
      <w:pPr>
        <w:pStyle w:val="Heading3"/>
      </w:pPr>
      <w:r>
        <w:t>Contingency and Disaster Recovery Plan</w:t>
      </w:r>
    </w:p>
    <w:p>
      <w:r>
        <w:t>HIPAA Security Rule (§164.308(a)(7)) requires a contingency plan. Consentext must document and implement:</w:t>
      </w:r>
    </w:p>
    <w:p>
      <w:r/>
      <w:r>
        <w:rPr>
          <w:b/>
        </w:rPr>
        <w:t>Data backup plan (Required):</w:t>
      </w:r>
      <w:r/>
    </w:p>
    <w:p>
      <w:pPr>
        <w:pStyle w:val="ListBullet"/>
      </w:pPr>
      <w:r>
        <w:t>Regular automated backups of all ePHI (vault data, metadata, audit logs)</w:t>
      </w:r>
    </w:p>
    <w:p>
      <w:pPr>
        <w:pStyle w:val="ListBullet"/>
      </w:pPr>
      <w:r>
        <w:t>Backups must be encrypted at the same standard as primary storage</w:t>
      </w:r>
    </w:p>
    <w:p>
      <w:pPr>
        <w:pStyle w:val="ListBullet"/>
      </w:pPr>
      <w:r>
        <w:t>Backup integrity verification (automated checksums)</w:t>
      </w:r>
    </w:p>
    <w:p>
      <w:pPr>
        <w:pStyle w:val="ListBullet"/>
      </w:pPr>
      <w:r>
        <w:t>Backups must not violate retention promises (existing §6 requirement)</w:t>
      </w:r>
    </w:p>
    <w:p>
      <w:r/>
      <w:r>
        <w:rPr>
          <w:b/>
        </w:rPr>
        <w:t>Disaster recovery plan (Required):</w:t>
      </w:r>
      <w:r/>
    </w:p>
    <w:p>
      <w:pPr>
        <w:pStyle w:val="ListBullet"/>
      </w:pPr>
      <w:r>
        <w:t>Documented procedures to restore any loss of data</w:t>
      </w:r>
    </w:p>
    <w:p>
      <w:pPr>
        <w:pStyle w:val="ListBullet"/>
      </w:pPr>
      <w:r>
        <w:t>Recovery time objective (RTO) and recovery point objective (RPO) defined</w:t>
      </w:r>
    </w:p>
    <w:p>
      <w:pPr>
        <w:pStyle w:val="ListBullet"/>
      </w:pPr>
      <w:r>
        <w:t>Recovery procedures must preserve audit integrity (append-only posture)</w:t>
      </w:r>
    </w:p>
    <w:p>
      <w:pPr>
        <w:pStyle w:val="ListBullet"/>
      </w:pPr>
      <w:r>
        <w:t>Recovery testing conducted at least annually</w:t>
      </w:r>
    </w:p>
    <w:p>
      <w:r/>
      <w:r>
        <w:rPr>
          <w:b/>
        </w:rPr>
        <w:t>Emergency mode operation plan (Required):</w:t>
      </w:r>
      <w:r/>
    </w:p>
    <w:p>
      <w:pPr>
        <w:pStyle w:val="ListBullet"/>
      </w:pPr>
      <w:r>
        <w:t>Procedures for operating in emergency mode (critical business processes must continue)</w:t>
      </w:r>
    </w:p>
    <w:p>
      <w:pPr>
        <w:pStyle w:val="ListBullet"/>
      </w:pPr>
      <w:r>
        <w:t>Identify minimum viable operations during an outage</w:t>
      </w:r>
    </w:p>
    <w:p>
      <w:r/>
      <w:r>
        <w:rPr>
          <w:b/>
        </w:rPr>
        <w:t>Testing and revision (Required):</w:t>
      </w:r>
      <w:r/>
    </w:p>
    <w:p>
      <w:pPr>
        <w:pStyle w:val="ListBullet"/>
      </w:pPr>
      <w:r>
        <w:t>Contingency plan tested at least annually</w:t>
      </w:r>
    </w:p>
    <w:p>
      <w:pPr>
        <w:pStyle w:val="ListBullet"/>
      </w:pPr>
      <w:r>
        <w:t>Plan revised based on test results and environmental changes</w:t>
      </w:r>
    </w:p>
    <w:p>
      <w:pPr>
        <w:pStyle w:val="ListBullet"/>
      </w:pPr>
      <w:r>
        <w:t>Test results documented and retained for 6 years</w:t>
      </w:r>
    </w:p>
    <w:p>
      <w:pPr>
        <w:pStyle w:val="Heading3"/>
      </w:pPr>
      <w:r>
        <w:t>Cross-Reference</w:t>
      </w:r>
    </w:p>
    <w:p>
      <w:r>
        <w:t xml:space="preserve">See </w:t>
      </w:r>
      <w:r>
        <w:rPr>
          <w:rFonts w:ascii="Consolas" w:hAnsi="Consolas"/>
          <w:color w:val="800000"/>
          <w:sz w:val="20"/>
        </w:rPr>
        <w:t>00_Regulatory_Compliance_Posture.md</w:t>
      </w:r>
      <w:r>
        <w:t xml:space="preserve"> for the full HIPAA regulatory framework, including BAA requirements, breach notification procedures, and the complete 6-year retention table.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1A2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