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8"/>
          <w:szCs w:val="28"/>
          <w:rtl w:val="0"/>
        </w:rPr>
        <w:t xml:space="preserve">Acme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52"/>
          <w:szCs w:val="52"/>
          <w:rtl w:val="0"/>
        </w:rPr>
        <w:t xml:space="preserve">Global Travel &amp; Expense (T&amp;E)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777777"/>
          <w:sz w:val="20"/>
          <w:szCs w:val="20"/>
          <w:rtl w:val="0"/>
        </w:rPr>
        <w:t xml:space="preserve">Effective 1 January 2026  ·  Version 1.0  ·  Owner: Corporate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Applies to all employees, contractors, and officers of Acme and its subsidiaries worldwide. This document is the reference the T&amp;E Audit Agent uses to evaluate submitted expenses.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240" w:lineRule="auto"/>
        <w:rPr/>
      </w:pPr>
      <w:bookmarkStart w:colFirst="0" w:colLast="0" w:name="_vhw0yc84io5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1.  Purpose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This policy sets the rules for incurring, approving, and reimbursing travel and business expenses at Acme. It exists to control cost, ensure expenses have a legitimate business purpose, satisfy tax and audit requirements, and treat employees fairly and consistently across every country in which Acme operates.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It applies to all expenses submitted through the corporate expense system, whether paid on a corporate card, a personal card, or in cash. Where a country addendum (Section 8) sets a stricter rule, the stricter rule prevails.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240" w:lineRule="auto"/>
        <w:rPr/>
      </w:pPr>
      <w:bookmarkStart w:colFirst="0" w:colLast="0" w:name="_qspg2qafteom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2.  General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Business purpose first. Every expense must be necessary, reasonable, and directly related to Acme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Spend the company's money as you would your own. Choose the economical option when it does not compromise the business outcome.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Document as you go. A valid, itemized receipt and a clear business purpose must accompany claims per Section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No personal benefit. Expenses that primarily benefit the individual are not reimbursable (Section 6.4).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Honesty. Inflating, duplicating, mis-categorizing, or splitting expenses to evade limits is treated as fraud (Section 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240" w:lineRule="auto"/>
        <w:rPr/>
      </w:pPr>
      <w:bookmarkStart w:colFirst="0" w:colLast="0" w:name="_zbx2q14glqi3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3.  Roles &amp;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Employee (submitter): incurs only policy-compliant expenses, attaches receipts, states the business purpose, and submits on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Approving manager: confirms business purpose and policy compliance before approving, and approves only within their authority (Section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Finance / AP: audits claims against this policy, processes reimbursement, and escalates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T&amp;E Audit Agent: automatically screens every submitted expense against the rules in this document and routes exceptions for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20" w:before="240" w:lineRule="auto"/>
        <w:rPr/>
      </w:pPr>
      <w:bookmarkStart w:colFirst="0" w:colLast="0" w:name="_87xswod0cyc5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4.  Submission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180" w:lineRule="auto"/>
        <w:rPr/>
      </w:pPr>
      <w:bookmarkStart w:colFirst="0" w:colLast="0" w:name="_bg3w6h3q1fyj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4.1  Payment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The Acme corporate card must be used for all business travel where one has been issued. Personal cards and cash are permitted only where a corporate card is unavailable or not accepted.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80" w:before="180" w:lineRule="auto"/>
        <w:rPr/>
      </w:pPr>
      <w:bookmarkStart w:colFirst="0" w:colLast="0" w:name="_ga2p50lw5xe3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4.2  Receipts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An itemized receipt is mandatory for every expense at or above the threshold below. A missing receipt above the threshold is a policy violation and the expense will be held.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Receipt required at/above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spacing w:after="80" w:before="180" w:lineRule="auto"/>
        <w:rPr/>
      </w:pPr>
      <w:bookmarkStart w:colFirst="0" w:colLast="0" w:name="_8s73r5cwqk44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4.3  Deadline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Expenses must be submitted within 60 days of the expense date. Claims submitted later than 60 days are flagged as late and may be denied.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20" w:before="240" w:lineRule="auto"/>
        <w:rPr/>
      </w:pPr>
      <w:bookmarkStart w:colFirst="0" w:colLast="0" w:name="_k2yinyz8j63l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5.  Approval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180" w:lineRule="auto"/>
        <w:rPr/>
      </w:pPr>
      <w:bookmarkStart w:colFirst="0" w:colLast="0" w:name="_wy4lrkc49nc9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5.1  Authority matrix (per expense, USD equivalent)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An expense must be approved by someone whose authority covers its full USD-equivalent amount. An approval by someone below the required level is a violation.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Approver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Approves up to (USD)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$2,500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$10,000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Vice 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$50,000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CFO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No limit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spacing w:after="120" w:before="240" w:lineRule="auto"/>
        <w:rPr/>
      </w:pPr>
      <w:bookmarkStart w:colFirst="0" w:colLast="0" w:name="_u3mf3sispzki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6.  Expense Category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80" w:before="180" w:lineRule="auto"/>
        <w:rPr/>
      </w:pPr>
      <w:bookmarkStart w:colFirst="0" w:colLast="0" w:name="_mj6hnin52jvg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6.1  Meals (per person, per 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Reasonable meal costs while traveling on business are reimbursable up to the daily cap below. Amounts above the cap require documented justification and are otherwise flagged.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 per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spacing w:after="80" w:before="180" w:lineRule="auto"/>
        <w:rPr/>
      </w:pPr>
      <w:bookmarkStart w:colFirst="0" w:colLast="0" w:name="_fi261172qime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6.2  Lodging / Hotel (per night)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Standard business-class hotel rooms are reimbursable up to the per-night cap below (room rate; taxes excluded). Suites and resort upgrades are not reimbursable.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 per 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spacing w:after="80" w:before="180" w:lineRule="auto"/>
        <w:rPr/>
      </w:pPr>
      <w:bookmarkStart w:colFirst="0" w:colLast="0" w:name="_3q08bxoyjklo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6.3  Travel — air, ground, and car rental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Airfare: Economy class for all flights. Business class is permitted only for flights of six hours or more, or for VP-level and above, and requires pre-approval. First-class airfare is never reimbursable.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Ground transport (taxi / rideshare): reimbursable per trip up to the cap below; higher amounts require justification.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 per trip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Car rental: mid-size class or below. Luxury / premium vehicle classes are not reimbursable. Daily caps: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 per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4000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spacing w:after="80" w:before="180" w:lineRule="auto"/>
        <w:rPr/>
      </w:pPr>
      <w:bookmarkStart w:colFirst="0" w:colLast="0" w:name="_si7rbd1j5f9z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6.4  Non-reimbursable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The following are never reimbursable and must not be submitted: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Parking 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Minibar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Spa / Personal 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Personal Gift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In-room Movies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Late Payment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(Plus, in all cases: fines and penalties, personal entertainment, and any expense without a business purpose.)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80" w:before="180" w:lineRule="auto"/>
        <w:rPr/>
      </w:pPr>
      <w:bookmarkStart w:colFirst="0" w:colLast="0" w:name="_qtgkt0y2vz5l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6.5  Mileage (personal vehicle)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Business use of a personal vehicle is reimbursed at the standard rate below, per mile. Claims exceeding distance × rate are flagged.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Rate per mile (local)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GBP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spacing w:after="120" w:before="240" w:lineRule="auto"/>
        <w:rPr/>
      </w:pPr>
      <w:bookmarkStart w:colFirst="0" w:colLast="0" w:name="_c1w5eotnw0sc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7.  Prohibited Practices &amp; Fraud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The following are treated as policy violations and, where intentional, as fraud. The audit agent screens for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80" w:before="180" w:lineRule="auto"/>
        <w:rPr/>
      </w:pPr>
      <w:bookmarkStart w:colFirst="0" w:colLast="0" w:name="_wz8kn33t3i87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7.1  Alcohol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Alcohol is not reimbursable under the India entity policy in any circumstance. In other countries, alcohol is reimbursable only as an itemized part of approved client entertainment.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80" w:before="180" w:lineRule="auto"/>
        <w:rPr/>
      </w:pPr>
      <w:bookmarkStart w:colFirst="0" w:colLast="0" w:name="_r1bkesr47biz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7.2  Duplicate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The same expense (same employee, date, merchant, and amount) submitted more than once — on one report or across reports — is a duplicate and only one may be paid.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80" w:before="180" w:lineRule="auto"/>
        <w:rPr/>
      </w:pPr>
      <w:bookmarkStart w:colFirst="0" w:colLast="0" w:name="_7w42kdpbvay0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7.3  Merchant / category mismatch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The claimed category must match the merchant and description (e.g., a fuel station or electronics retailer claimed as 'Meals'). Mismatches are flagged for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80" w:before="180" w:lineRule="auto"/>
        <w:rPr/>
      </w:pPr>
      <w:bookmarkStart w:colFirst="0" w:colLast="0" w:name="_jr14nkcd17wn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7.4  Weekend / personal-date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Meals and entertainment dated on non-travel weekends without a stated business purpose are flagged for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80" w:before="180" w:lineRule="auto"/>
        <w:rPr/>
      </w:pPr>
      <w:bookmarkStart w:colFirst="0" w:colLast="0" w:name="_bxzschd4mbi2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4"/>
          <w:szCs w:val="24"/>
          <w:rtl w:val="0"/>
        </w:rPr>
        <w:t xml:space="preserve">7.5  Per-diem double-dipping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Where a per-diem allowance is claimed, itemized meals for the same day may not also be claimed. Claiming both is double-dipping.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120" w:before="240" w:lineRule="auto"/>
        <w:rPr/>
      </w:pPr>
      <w:bookmarkStart w:colFirst="0" w:colLast="0" w:name="_9lfuwkikcygq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8.  Country-Specific Addenda (summary)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The table below consolidates the numeric limits by country for quick reference. All values are in each country's local currency except approval authority, which is USD-equivalent.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dddddd" w:space="0" w:sz="4" w:val="single"/>
          <w:insideV w:color="dddddd" w:space="0" w:sz="4" w:val="single"/>
        </w:tblBorders>
        <w:tblLayout w:type="fixed"/>
        <w:tblLook w:val="0000"/>
      </w:tblPr>
      <w:tblGrid>
        <w:gridCol w:w="1140"/>
        <w:gridCol w:w="1370"/>
        <w:gridCol w:w="1420"/>
        <w:gridCol w:w="1420"/>
        <w:gridCol w:w="1290"/>
        <w:gridCol w:w="1370"/>
        <w:gridCol w:w="1350"/>
        <w:tblGridChange w:id="0">
          <w:tblGrid>
            <w:gridCol w:w="1140"/>
            <w:gridCol w:w="1370"/>
            <w:gridCol w:w="1420"/>
            <w:gridCol w:w="1420"/>
            <w:gridCol w:w="1290"/>
            <w:gridCol w:w="1370"/>
            <w:gridCol w:w="1350"/>
          </w:tblGrid>
        </w:tblGridChange>
      </w:tblGrid>
      <w:tr>
        <w:trPr>
          <w:cantSplit w:val="0"/>
          <w:tblHeader w:val="1"/>
        </w:trPr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Meals/day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Hotel/night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Ground/trip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Receipt 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a5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Mileage/mi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0.67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0.45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4000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22222"/>
                <w:sz w:val="18"/>
                <w:szCs w:val="18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Currencies: US=USD,  UK=GBP,  DE=EUR,  IN=INR,  SG=SGD.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India note: alcohol is non-reimbursable under any category (Section 7.1).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120" w:before="240" w:lineRule="auto"/>
        <w:rPr/>
      </w:pPr>
      <w:bookmarkStart w:colFirst="0" w:colLast="0" w:name="_t4xt0z9r19b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9.  Audit &amp;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222222"/>
          <w:sz w:val="20"/>
          <w:szCs w:val="20"/>
          <w:rtl w:val="0"/>
        </w:rPr>
        <w:t xml:space="preserve">Every submitted expense is screened automatically by the T&amp;E Audit Agent against the rules above. Expenses are classified as compliant, or flagged with a severity (High / Medium / Low) and the specific policy section breached. High-severity items (missing receipts above threshold, non-reimbursable categories, approval-authority breaches, alcohol in India, duplicates, first-class airfare) are held pending review. Repeated or intentional violations may result in non-reimbursement and disciplinary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spacing w:after="120" w:before="240" w:lineRule="auto"/>
        <w:rPr/>
      </w:pPr>
      <w:bookmarkStart w:colFirst="0" w:colLast="0" w:name="_yqh6eu3tkgu9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30"/>
          <w:szCs w:val="30"/>
          <w:rtl w:val="0"/>
        </w:rPr>
        <w:t xml:space="preserve">10. 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Business purpose — the specific reason an expense was necessary for Acme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Itemized receipt — a receipt showing merchant, date, line items, and total (not just a card slip).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Per diem — a fixed daily allowance in lieu of itemized meal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USD-equivalent — the expense amount converted to USD at the corporate FX rate for approval-authority tests.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jc w:val="center"/>
      <w:rPr/>
    </w:pPr>
    <w:r w:rsidDel="00000000" w:rsidR="00000000" w:rsidRPr="00000000">
      <w:rPr>
        <w:rFonts w:ascii="Calibri" w:cs="Calibri" w:eastAsia="Calibri" w:hAnsi="Calibri"/>
        <w:color w:val="999999"/>
        <w:sz w:val="16"/>
        <w:szCs w:val="16"/>
        <w:rtl w:val="0"/>
      </w:rPr>
      <w:t xml:space="preserve">Acme Global T&amp;E Policy · v1.0 · Page </w:t>
    </w:r>
    <w:r w:rsidDel="00000000" w:rsidR="00000000" w:rsidRPr="00000000"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40"/>
      </w:pPr>
      <w:rPr>
        <w:rFonts w:ascii="Calibri" w:cs="Calibri" w:eastAsia="Calibri" w:hAnsi="Calibri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