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Podemos afirmar que o público-alvo do projeto abrange principalmente a faixa etária adulta e parte da idosa, com possíveis diferenciais sendo os tipos de combustíveis que determinados usuários utilizam (como gasolina e diesel) ou o tipo de veículo que utilizam (carro ou moto)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