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B8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jc w:val="left"/>
        <w:rPr>
          <w:rFonts w:hint="eastAsia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血压分类与心血管危险分层</w:t>
      </w:r>
    </w:p>
    <w:p w14:paraId="49E5B61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rightChars="0" w:hanging="420" w:firstLineChars="0"/>
        <w:jc w:val="left"/>
        <w:rPr>
          <w:rFonts w:hint="eastAsia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·高血压定义:在未使用降压药的情况下,诊室血压≥140/90 mmHg;或家庭血压≥135/85 mmHg;或24h 动 态 血 压 ≥130/80 mmHg,白 天 血 压 ≥135/85 mmHg,夜间血压≥120/70 mmHg。</w:t>
      </w:r>
    </w:p>
    <w:p w14:paraId="361807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rightChars="0" w:hanging="420" w:firstLineChars="0"/>
        <w:jc w:val="left"/>
        <w:rPr>
          <w:rFonts w:hint="eastAsia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·根据诊室血压升高水平,将高血压分为1级、2级和3级(I,C)。</w:t>
      </w:r>
    </w:p>
    <w:p w14:paraId="42A905D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420" w:leftChars="0" w:right="0" w:rightChars="0" w:hanging="42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·根据血压水平、心血管危险因素、靶器官损害、临床并发症以及糖尿病和 CKD 等合并症进行心血管危险分层,分为低危、中危、高危和很高危4个层次(I,C)。</w:t>
      </w:r>
    </w:p>
    <w:p w14:paraId="4D0F7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表 6 基于诊室血压的血压分类和高血压分级 (mmHg)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880"/>
        <w:gridCol w:w="4639"/>
      </w:tblGrid>
      <w:tr w14:paraId="1E49A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3880" w:type="dxa"/>
            <w:vAlign w:val="center"/>
          </w:tcPr>
          <w:p w14:paraId="01F8C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分类</w:t>
            </w:r>
          </w:p>
        </w:tc>
        <w:tc>
          <w:tcPr>
            <w:tcW w:w="4639" w:type="dxa"/>
            <w:vAlign w:val="center"/>
          </w:tcPr>
          <w:p w14:paraId="69783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收缩压</w:t>
            </w:r>
            <w:r>
              <w:rPr>
                <w:rFonts w:hint="eastAsia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/</w:t>
            </w: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舒张压</w:t>
            </w:r>
          </w:p>
        </w:tc>
      </w:tr>
      <w:tr w14:paraId="2DAFA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19D5B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正常血压</w:t>
            </w:r>
          </w:p>
        </w:tc>
        <w:tc>
          <w:tcPr>
            <w:tcW w:w="4639" w:type="dxa"/>
            <w:vAlign w:val="center"/>
          </w:tcPr>
          <w:p w14:paraId="5BB0A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&lt;120</w:t>
            </w: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和&lt;80</w:t>
            </w:r>
          </w:p>
        </w:tc>
      </w:tr>
      <w:tr w14:paraId="7DA8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163EE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正常高值</w:t>
            </w:r>
          </w:p>
        </w:tc>
        <w:tc>
          <w:tcPr>
            <w:tcW w:w="4639" w:type="dxa"/>
            <w:vAlign w:val="center"/>
          </w:tcPr>
          <w:p w14:paraId="3B66E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120~139和/或80~89</w:t>
            </w:r>
          </w:p>
        </w:tc>
      </w:tr>
      <w:tr w14:paraId="3D8FC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38CC4C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高血压</w:t>
            </w:r>
          </w:p>
        </w:tc>
        <w:tc>
          <w:tcPr>
            <w:tcW w:w="4639" w:type="dxa"/>
            <w:vAlign w:val="center"/>
          </w:tcPr>
          <w:p w14:paraId="4E80F7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≥140和/或≥90</w:t>
            </w:r>
          </w:p>
        </w:tc>
      </w:tr>
      <w:tr w14:paraId="2842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660B6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1级高血压(轻度)</w:t>
            </w:r>
          </w:p>
        </w:tc>
        <w:tc>
          <w:tcPr>
            <w:tcW w:w="4639" w:type="dxa"/>
            <w:vAlign w:val="center"/>
          </w:tcPr>
          <w:p w14:paraId="2DFEF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140~159和/或90~99</w:t>
            </w:r>
          </w:p>
        </w:tc>
      </w:tr>
      <w:tr w14:paraId="75AEC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62C874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2级高血压(中度)</w:t>
            </w:r>
          </w:p>
        </w:tc>
        <w:tc>
          <w:tcPr>
            <w:tcW w:w="4639" w:type="dxa"/>
            <w:vAlign w:val="center"/>
          </w:tcPr>
          <w:p w14:paraId="2504D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160~179和/或100~109</w:t>
            </w:r>
          </w:p>
        </w:tc>
      </w:tr>
      <w:tr w14:paraId="6B7DD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290DB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3级高血压(重度)</w:t>
            </w:r>
          </w:p>
        </w:tc>
        <w:tc>
          <w:tcPr>
            <w:tcW w:w="4639" w:type="dxa"/>
            <w:vAlign w:val="center"/>
          </w:tcPr>
          <w:p w14:paraId="57BB67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≥180和/或≥110</w:t>
            </w:r>
          </w:p>
        </w:tc>
      </w:tr>
      <w:tr w14:paraId="322DD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4F337C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单纯收缩期高血压</w:t>
            </w:r>
          </w:p>
        </w:tc>
        <w:tc>
          <w:tcPr>
            <w:tcW w:w="4639" w:type="dxa"/>
            <w:vAlign w:val="center"/>
          </w:tcPr>
          <w:p w14:paraId="0439B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≥140和&lt;90</w:t>
            </w:r>
          </w:p>
        </w:tc>
      </w:tr>
      <w:tr w14:paraId="60D8F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880" w:type="dxa"/>
            <w:vAlign w:val="center"/>
          </w:tcPr>
          <w:p w14:paraId="28D20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b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单纯舒张期高血压</w:t>
            </w:r>
          </w:p>
        </w:tc>
        <w:tc>
          <w:tcPr>
            <w:tcW w:w="4639" w:type="dxa"/>
            <w:vAlign w:val="center"/>
          </w:tcPr>
          <w:p w14:paraId="78DB4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42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&lt;140和≥90</w:t>
            </w:r>
          </w:p>
        </w:tc>
      </w:tr>
    </w:tbl>
    <w:p w14:paraId="0D7254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注:当收缩压和舒张压分属于不同级别时,以较高的分级为准。</w:t>
      </w:r>
    </w:p>
    <w:p w14:paraId="7EC19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</w:p>
    <w:p w14:paraId="312333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根据诊室血压、家庭血压和动态血压以及患者服药情况,高血压的定义如下:在未使用降压药的情况下,非同日3次测量诊室血≥140/90 mmHg;或连续5~7d测量家庭血压≥135/85 mmHg;或24h动态血压≥130/80 mmHg,白天血压≥135/85 mmHg,夜间血压≥120/70 mmHg。患者既往有高血压史,目前使用降压药,血压虽然低于上述诊断界值,仍应诊断为高血压。基于诊室血压、动态血压和家庭血压的高血压诊断标准亦可参见表7。</w:t>
      </w:r>
    </w:p>
    <w:p w14:paraId="40A718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</w:p>
    <w:p w14:paraId="1897B4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eastAsia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基于诊室血压、家庭血压和动态血压的高血压诊断标准</w:t>
      </w:r>
    </w:p>
    <w:tbl>
      <w:tblPr>
        <w:tblStyle w:val="5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47"/>
        <w:gridCol w:w="4722"/>
        <w:gridCol w:w="2253"/>
      </w:tblGrid>
      <w:tr w14:paraId="1BFF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47" w:type="dxa"/>
            <w:vAlign w:val="center"/>
          </w:tcPr>
          <w:p w14:paraId="14E92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血压类型</w:t>
            </w:r>
          </w:p>
        </w:tc>
        <w:tc>
          <w:tcPr>
            <w:tcW w:w="4722" w:type="dxa"/>
            <w:vAlign w:val="center"/>
          </w:tcPr>
          <w:p w14:paraId="2EA943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测量方式</w:t>
            </w:r>
          </w:p>
        </w:tc>
        <w:tc>
          <w:tcPr>
            <w:tcW w:w="2253" w:type="dxa"/>
            <w:vAlign w:val="center"/>
          </w:tcPr>
          <w:p w14:paraId="6DD11F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收缩压/舒张压</w:t>
            </w:r>
          </w:p>
          <w:p w14:paraId="27344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(mmHg)</w:t>
            </w:r>
          </w:p>
        </w:tc>
      </w:tr>
      <w:tr w14:paraId="3208A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6F23A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诊室血压</w:t>
            </w:r>
          </w:p>
        </w:tc>
        <w:tc>
          <w:tcPr>
            <w:tcW w:w="4722" w:type="dxa"/>
            <w:vAlign w:val="center"/>
          </w:tcPr>
          <w:p w14:paraId="55D46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非同日3次规范化测量诊室血压,3次测量的全部血压值</w:t>
            </w:r>
          </w:p>
        </w:tc>
        <w:tc>
          <w:tcPr>
            <w:tcW w:w="2253" w:type="dxa"/>
            <w:vAlign w:val="center"/>
          </w:tcPr>
          <w:p w14:paraId="7541EE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≥140和/或≥90</w:t>
            </w:r>
          </w:p>
        </w:tc>
      </w:tr>
      <w:tr w14:paraId="6C9B1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40F5CE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家庭血压</w:t>
            </w:r>
          </w:p>
        </w:tc>
        <w:tc>
          <w:tcPr>
            <w:tcW w:w="4722" w:type="dxa"/>
            <w:vAlign w:val="center"/>
          </w:tcPr>
          <w:p w14:paraId="754E1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连续5~7d规范化</w:t>
            </w: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测量家庭血压,所有测量血压读数的平均值</w:t>
            </w:r>
          </w:p>
        </w:tc>
        <w:tc>
          <w:tcPr>
            <w:tcW w:w="2253" w:type="dxa"/>
            <w:vAlign w:val="center"/>
          </w:tcPr>
          <w:p w14:paraId="71CB1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≥135和/或≥85</w:t>
            </w:r>
          </w:p>
        </w:tc>
      </w:tr>
      <w:tr w14:paraId="06DD2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0827C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动态血压</w:t>
            </w:r>
          </w:p>
        </w:tc>
        <w:tc>
          <w:tcPr>
            <w:tcW w:w="4722" w:type="dxa"/>
            <w:vAlign w:val="center"/>
          </w:tcPr>
          <w:p w14:paraId="6D83F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24h平均值</w:t>
            </w:r>
          </w:p>
        </w:tc>
        <w:tc>
          <w:tcPr>
            <w:tcW w:w="2253" w:type="dxa"/>
            <w:vAlign w:val="center"/>
          </w:tcPr>
          <w:p w14:paraId="4EADEF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≥130和/或≥80</w:t>
            </w:r>
          </w:p>
        </w:tc>
      </w:tr>
      <w:tr w14:paraId="510D9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7F8E2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</w:p>
        </w:tc>
        <w:tc>
          <w:tcPr>
            <w:tcW w:w="4722" w:type="dxa"/>
            <w:vAlign w:val="center"/>
          </w:tcPr>
          <w:p w14:paraId="5E2D6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白天(或清醒状态)的平均值</w:t>
            </w:r>
          </w:p>
        </w:tc>
        <w:tc>
          <w:tcPr>
            <w:tcW w:w="2253" w:type="dxa"/>
            <w:vAlign w:val="center"/>
          </w:tcPr>
          <w:p w14:paraId="35EB5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≥135和/或≥85</w:t>
            </w:r>
          </w:p>
        </w:tc>
      </w:tr>
      <w:tr w14:paraId="3F22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47" w:type="dxa"/>
            <w:vAlign w:val="center"/>
          </w:tcPr>
          <w:p w14:paraId="2A9CBA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</w:p>
        </w:tc>
        <w:tc>
          <w:tcPr>
            <w:tcW w:w="4722" w:type="dxa"/>
            <w:vAlign w:val="center"/>
          </w:tcPr>
          <w:p w14:paraId="64644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夜晚(或睡眠状态)的平均值</w:t>
            </w:r>
          </w:p>
        </w:tc>
        <w:tc>
          <w:tcPr>
            <w:tcW w:w="2253" w:type="dxa"/>
            <w:vAlign w:val="center"/>
          </w:tcPr>
          <w:p w14:paraId="52098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仿宋_GB2312" w:eastAsia="仿宋_GB2312"/>
                <w:b/>
                <w:sz w:val="28"/>
              </w:rPr>
            </w:pPr>
            <w:r>
              <w:rPr>
                <w:rFonts w:hint="default" w:ascii="仿宋_GB2312" w:hAnsi="微软雅黑" w:eastAsia="仿宋_GB2312" w:cs="仿宋_GB2312"/>
                <w:b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≥120和/或≥70</w:t>
            </w:r>
          </w:p>
        </w:tc>
      </w:tr>
    </w:tbl>
    <w:p w14:paraId="7C79A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1120" w:firstLineChars="40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</w:p>
    <w:p w14:paraId="1FCAD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1120" w:firstLineChars="40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表 8 心血管风险水平分层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93"/>
        <w:gridCol w:w="1652"/>
        <w:gridCol w:w="1650"/>
        <w:gridCol w:w="1690"/>
        <w:gridCol w:w="1234"/>
      </w:tblGrid>
      <w:tr w14:paraId="4EBD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3" w:type="dxa"/>
            <w:vMerge w:val="restart"/>
            <w:vAlign w:val="center"/>
          </w:tcPr>
          <w:p w14:paraId="0165A1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心血管危险因素和疾病史</w:t>
            </w:r>
          </w:p>
        </w:tc>
        <w:tc>
          <w:tcPr>
            <w:tcW w:w="1690" w:type="dxa"/>
            <w:gridSpan w:val="4"/>
            <w:vAlign w:val="center"/>
          </w:tcPr>
          <w:p w14:paraId="32B24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800" w:firstLineChars="400"/>
              <w:jc w:val="left"/>
              <w:rPr>
                <w:rFonts w:hint="eastAsia" w:eastAsia="宋体"/>
                <w:lang w:val="en-US" w:eastAsia="zh-CN"/>
              </w:rPr>
            </w:pPr>
          </w:p>
          <w:p w14:paraId="7FBB5BB8">
            <w:pPr>
              <w:bidi w:val="0"/>
              <w:snapToGrid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 w14:paraId="128B7E49">
            <w:pPr>
              <w:bidi w:val="0"/>
              <w:snapToGrid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血压（mmHg）</w:t>
            </w:r>
          </w:p>
        </w:tc>
      </w:tr>
      <w:tr w14:paraId="7A5C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3" w:type="dxa"/>
            <w:vMerge w:val="continue"/>
            <w:vAlign w:val="center"/>
          </w:tcPr>
          <w:p w14:paraId="6ECFA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800" w:firstLineChars="400"/>
              <w:jc w:val="left"/>
            </w:pPr>
          </w:p>
        </w:tc>
        <w:tc>
          <w:tcPr>
            <w:tcW w:w="1652" w:type="dxa"/>
            <w:vAlign w:val="center"/>
          </w:tcPr>
          <w:p w14:paraId="1368C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收缩压130~139和/或舒张压85~89</w:t>
            </w:r>
          </w:p>
        </w:tc>
        <w:tc>
          <w:tcPr>
            <w:tcW w:w="1650" w:type="dxa"/>
            <w:vAlign w:val="center"/>
          </w:tcPr>
          <w:p w14:paraId="31256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收缩压140~159和/或舒张压90~99</w:t>
            </w:r>
          </w:p>
        </w:tc>
        <w:tc>
          <w:tcPr>
            <w:tcW w:w="1690" w:type="dxa"/>
            <w:vAlign w:val="center"/>
          </w:tcPr>
          <w:p w14:paraId="07E62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收缩压160~179和/或舒张压100~109</w:t>
            </w:r>
          </w:p>
        </w:tc>
        <w:tc>
          <w:tcPr>
            <w:tcW w:w="1234" w:type="dxa"/>
            <w:vAlign w:val="center"/>
          </w:tcPr>
          <w:p w14:paraId="6D74CB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收缩≥180和/或舒张压≥110</w:t>
            </w:r>
          </w:p>
        </w:tc>
      </w:tr>
      <w:tr w14:paraId="2B2D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3" w:type="dxa"/>
            <w:vAlign w:val="center"/>
          </w:tcPr>
          <w:p w14:paraId="4B6581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left="0" w:leftChars="0" w:right="0" w:firstLine="1120" w:firstLineChars="40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无</w:t>
            </w:r>
          </w:p>
        </w:tc>
        <w:tc>
          <w:tcPr>
            <w:tcW w:w="1652" w:type="dxa"/>
            <w:vAlign w:val="center"/>
          </w:tcPr>
          <w:p w14:paraId="55FF0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低危</w:t>
            </w:r>
          </w:p>
        </w:tc>
        <w:tc>
          <w:tcPr>
            <w:tcW w:w="1650" w:type="dxa"/>
            <w:vAlign w:val="center"/>
          </w:tcPr>
          <w:p w14:paraId="7F7BB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低危</w:t>
            </w:r>
          </w:p>
        </w:tc>
        <w:tc>
          <w:tcPr>
            <w:tcW w:w="1690" w:type="dxa"/>
            <w:vAlign w:val="center"/>
          </w:tcPr>
          <w:p w14:paraId="47CE0F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中危</w:t>
            </w:r>
          </w:p>
        </w:tc>
        <w:tc>
          <w:tcPr>
            <w:tcW w:w="1234" w:type="dxa"/>
            <w:vAlign w:val="center"/>
          </w:tcPr>
          <w:p w14:paraId="34A62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高危</w:t>
            </w:r>
          </w:p>
        </w:tc>
      </w:tr>
      <w:tr w14:paraId="6CFD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3" w:type="dxa"/>
            <w:vAlign w:val="center"/>
          </w:tcPr>
          <w:p w14:paraId="536940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1~2个其他危险因素</w:t>
            </w:r>
          </w:p>
        </w:tc>
        <w:tc>
          <w:tcPr>
            <w:tcW w:w="1652" w:type="dxa"/>
            <w:vAlign w:val="center"/>
          </w:tcPr>
          <w:p w14:paraId="488133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低危</w:t>
            </w:r>
          </w:p>
        </w:tc>
        <w:tc>
          <w:tcPr>
            <w:tcW w:w="1650" w:type="dxa"/>
            <w:vAlign w:val="center"/>
          </w:tcPr>
          <w:p w14:paraId="1BB63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中危</w:t>
            </w:r>
          </w:p>
        </w:tc>
        <w:tc>
          <w:tcPr>
            <w:tcW w:w="1690" w:type="dxa"/>
            <w:vAlign w:val="center"/>
          </w:tcPr>
          <w:p w14:paraId="23D80B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中-高危</w:t>
            </w:r>
          </w:p>
        </w:tc>
        <w:tc>
          <w:tcPr>
            <w:tcW w:w="1234" w:type="dxa"/>
            <w:vAlign w:val="center"/>
          </w:tcPr>
          <w:p w14:paraId="3DC00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很高危</w:t>
            </w:r>
          </w:p>
        </w:tc>
      </w:tr>
      <w:tr w14:paraId="7489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3" w:type="dxa"/>
            <w:vAlign w:val="center"/>
          </w:tcPr>
          <w:p w14:paraId="5AA31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≥3个其他危险因素,靶器官损害,CKD3期,</w:t>
            </w: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或无并发症的糖尿病</w:t>
            </w:r>
          </w:p>
        </w:tc>
        <w:tc>
          <w:tcPr>
            <w:tcW w:w="1652" w:type="dxa"/>
            <w:vAlign w:val="center"/>
          </w:tcPr>
          <w:p w14:paraId="0C0F6EDA">
            <w:pPr>
              <w:bidi w:val="0"/>
              <w:snapToGrid w:val="0"/>
              <w:jc w:val="both"/>
              <w:rPr>
                <w:lang w:val="en-US" w:eastAsia="zh-CN"/>
              </w:rPr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中-高危</w:t>
            </w:r>
          </w:p>
        </w:tc>
        <w:tc>
          <w:tcPr>
            <w:tcW w:w="1650" w:type="dxa"/>
            <w:vAlign w:val="center"/>
          </w:tcPr>
          <w:p w14:paraId="7AF8D2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高危</w:t>
            </w:r>
          </w:p>
        </w:tc>
        <w:tc>
          <w:tcPr>
            <w:tcW w:w="1690" w:type="dxa"/>
            <w:vAlign w:val="center"/>
          </w:tcPr>
          <w:p w14:paraId="3E04F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高危</w:t>
            </w:r>
          </w:p>
        </w:tc>
        <w:tc>
          <w:tcPr>
            <w:tcW w:w="1234" w:type="dxa"/>
            <w:vAlign w:val="center"/>
          </w:tcPr>
          <w:p w14:paraId="4F0E7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shd w:val="clear" w:fill="FFFFFF"/>
                <w:lang w:val="en-US" w:eastAsia="zh-CN" w:bidi="ar"/>
              </w:rPr>
              <w:t>高危</w:t>
            </w:r>
          </w:p>
        </w:tc>
      </w:tr>
      <w:tr w14:paraId="3FFFE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93" w:type="dxa"/>
            <w:vAlign w:val="top"/>
          </w:tcPr>
          <w:p w14:paraId="1D63E3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both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临床并</w:t>
            </w:r>
            <w:r>
              <w:rPr>
                <w:rFonts w:hint="eastAsia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发</w:t>
            </w: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症,CKD≥4期,或有并发症的糖尿病</w:t>
            </w:r>
          </w:p>
        </w:tc>
        <w:tc>
          <w:tcPr>
            <w:tcW w:w="1652" w:type="dxa"/>
            <w:vAlign w:val="center"/>
          </w:tcPr>
          <w:p w14:paraId="6301E1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高-很高危</w:t>
            </w:r>
          </w:p>
        </w:tc>
        <w:tc>
          <w:tcPr>
            <w:tcW w:w="1650" w:type="dxa"/>
            <w:vAlign w:val="center"/>
          </w:tcPr>
          <w:p w14:paraId="71502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很高危</w:t>
            </w:r>
          </w:p>
        </w:tc>
        <w:tc>
          <w:tcPr>
            <w:tcW w:w="1690" w:type="dxa"/>
            <w:vAlign w:val="center"/>
          </w:tcPr>
          <w:p w14:paraId="1F5F0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很高危</w:t>
            </w:r>
          </w:p>
        </w:tc>
        <w:tc>
          <w:tcPr>
            <w:tcW w:w="1234" w:type="dxa"/>
            <w:vAlign w:val="center"/>
          </w:tcPr>
          <w:p w14:paraId="0FAE6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napToGrid w:val="0"/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仿宋_GB2312" w:hAnsi="微软雅黑" w:eastAsia="仿宋_GB2312" w:cs="仿宋_GB2312"/>
                <w:i w:val="0"/>
                <w:iCs w:val="0"/>
                <w:caps w:val="0"/>
                <w:color w:val="222222"/>
                <w:spacing w:val="0"/>
                <w:kern w:val="0"/>
                <w:sz w:val="28"/>
                <w:szCs w:val="28"/>
                <w:u w:val="none"/>
                <w:bdr w:val="none" w:color="auto" w:sz="0" w:space="0"/>
                <w:shd w:val="clear" w:fill="FFFFFF"/>
                <w:lang w:val="en-US" w:eastAsia="zh-CN" w:bidi="ar"/>
              </w:rPr>
              <w:t>很高危</w:t>
            </w:r>
          </w:p>
        </w:tc>
      </w:tr>
    </w:tbl>
    <w:p w14:paraId="67F98F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1120" w:firstLineChars="40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注:CKD为慢性肾脏病。</w:t>
      </w:r>
    </w:p>
    <w:p w14:paraId="5B96C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1120" w:firstLineChars="40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</w:p>
    <w:p w14:paraId="17E4B541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1120" w:firstLineChars="0"/>
        <w:jc w:val="center"/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  <w:lang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5"/>
          <w:u w:val="none"/>
        </w:rPr>
        <w:t>表 10 与诊室血压对应的家庭血压和动态血压 (mmHg)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79"/>
        <w:gridCol w:w="1379"/>
        <w:gridCol w:w="1874"/>
        <w:gridCol w:w="1943"/>
        <w:gridCol w:w="1944"/>
      </w:tblGrid>
      <w:tr w14:paraId="61A0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79" w:type="dxa"/>
            <w:vAlign w:val="center"/>
          </w:tcPr>
          <w:p w14:paraId="0096EA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诊室血压</w:t>
            </w:r>
          </w:p>
        </w:tc>
        <w:tc>
          <w:tcPr>
            <w:tcW w:w="1379" w:type="dxa"/>
            <w:vAlign w:val="center"/>
          </w:tcPr>
          <w:p w14:paraId="2FD278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家庭血压</w:t>
            </w:r>
          </w:p>
        </w:tc>
        <w:tc>
          <w:tcPr>
            <w:tcW w:w="1874" w:type="dxa"/>
            <w:vAlign w:val="center"/>
          </w:tcPr>
          <w:p w14:paraId="46DE69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24h动态血压</w:t>
            </w:r>
          </w:p>
        </w:tc>
        <w:tc>
          <w:tcPr>
            <w:tcW w:w="1943" w:type="dxa"/>
            <w:vAlign w:val="center"/>
          </w:tcPr>
          <w:p w14:paraId="292221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日间动态血压</w:t>
            </w:r>
          </w:p>
        </w:tc>
        <w:tc>
          <w:tcPr>
            <w:tcW w:w="1944" w:type="dxa"/>
            <w:vAlign w:val="center"/>
          </w:tcPr>
          <w:p w14:paraId="432B4E0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夜间动态血压</w:t>
            </w:r>
          </w:p>
        </w:tc>
      </w:tr>
      <w:tr w14:paraId="6FB6A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vAlign w:val="center"/>
          </w:tcPr>
          <w:p w14:paraId="525911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140/90</w:t>
            </w:r>
          </w:p>
        </w:tc>
        <w:tc>
          <w:tcPr>
            <w:tcW w:w="1379" w:type="dxa"/>
            <w:vAlign w:val="center"/>
          </w:tcPr>
          <w:p w14:paraId="32C57F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135/85</w:t>
            </w:r>
          </w:p>
        </w:tc>
        <w:tc>
          <w:tcPr>
            <w:tcW w:w="1874" w:type="dxa"/>
            <w:vAlign w:val="center"/>
          </w:tcPr>
          <w:p w14:paraId="49A5BE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130/80</w:t>
            </w:r>
          </w:p>
        </w:tc>
        <w:tc>
          <w:tcPr>
            <w:tcW w:w="1943" w:type="dxa"/>
            <w:vAlign w:val="center"/>
          </w:tcPr>
          <w:p w14:paraId="136025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135/85</w:t>
            </w:r>
          </w:p>
        </w:tc>
        <w:tc>
          <w:tcPr>
            <w:tcW w:w="1944" w:type="dxa"/>
            <w:vAlign w:val="center"/>
          </w:tcPr>
          <w:p w14:paraId="162373E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120/70</w:t>
            </w:r>
          </w:p>
        </w:tc>
      </w:tr>
      <w:tr w14:paraId="26892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79" w:type="dxa"/>
            <w:vAlign w:val="center"/>
          </w:tcPr>
          <w:p w14:paraId="4FE9965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130/80</w:t>
            </w:r>
          </w:p>
        </w:tc>
        <w:tc>
          <w:tcPr>
            <w:tcW w:w="1379" w:type="dxa"/>
            <w:vAlign w:val="center"/>
          </w:tcPr>
          <w:p w14:paraId="0D3143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130/80</w:t>
            </w:r>
          </w:p>
        </w:tc>
        <w:tc>
          <w:tcPr>
            <w:tcW w:w="1874" w:type="dxa"/>
            <w:vAlign w:val="center"/>
          </w:tcPr>
          <w:p w14:paraId="458BE1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125/75</w:t>
            </w:r>
          </w:p>
        </w:tc>
        <w:tc>
          <w:tcPr>
            <w:tcW w:w="1943" w:type="dxa"/>
            <w:vAlign w:val="center"/>
          </w:tcPr>
          <w:p w14:paraId="2F4108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130/80</w:t>
            </w:r>
          </w:p>
        </w:tc>
        <w:tc>
          <w:tcPr>
            <w:tcW w:w="1944" w:type="dxa"/>
            <w:vAlign w:val="center"/>
          </w:tcPr>
          <w:p w14:paraId="01CB29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</w:rPr>
              <w:t>110/65</w:t>
            </w:r>
          </w:p>
        </w:tc>
      </w:tr>
    </w:tbl>
    <w:p w14:paraId="0DD6C88C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3"/>
          <w:u w:val="none"/>
          <w:lang w:val="en-US" w:eastAsia="zh-CN"/>
        </w:rPr>
      </w:pPr>
    </w:p>
    <w:p w14:paraId="5D7520BD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3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3"/>
          <w:u w:val="none"/>
          <w:lang w:val="en-US" w:eastAsia="zh-CN"/>
        </w:rPr>
        <w:t>血压小贴士</w:t>
      </w:r>
      <w:r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3"/>
          <w:u w:val="none"/>
          <w:lang w:val="en-US" w:eastAsia="zh-CN"/>
        </w:rPr>
        <w:t>表  DASH 饮食、CHH 饮食和辣膳食具体的降压作用和获益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17"/>
        <w:gridCol w:w="6602"/>
      </w:tblGrid>
      <w:tr w14:paraId="4A234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17" w:type="dxa"/>
            <w:vAlign w:val="center"/>
          </w:tcPr>
          <w:p w14:paraId="551845B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饮食模式</w:t>
            </w:r>
          </w:p>
        </w:tc>
        <w:tc>
          <w:tcPr>
            <w:tcW w:w="6602" w:type="dxa"/>
            <w:vAlign w:val="center"/>
          </w:tcPr>
          <w:p w14:paraId="4E6BAF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降压作用和长期获益</w:t>
            </w:r>
          </w:p>
        </w:tc>
      </w:tr>
      <w:tr w14:paraId="1A346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7" w:type="dxa"/>
            <w:vAlign w:val="center"/>
          </w:tcPr>
          <w:p w14:paraId="5EC4C7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DASH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饮食</w:t>
            </w:r>
          </w:p>
        </w:tc>
        <w:tc>
          <w:tcPr>
            <w:tcW w:w="6602" w:type="dxa"/>
            <w:vAlign w:val="center"/>
          </w:tcPr>
          <w:p w14:paraId="38E492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高血压患者食用DASH饮食可降低收缩压11.4mmHg,舒张压5.5mmHg[168]坚持DASH饮食能够有效降低心血管事件和全因死亡风险[167]</w:t>
            </w:r>
          </w:p>
        </w:tc>
      </w:tr>
      <w:tr w14:paraId="1BA7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7" w:type="dxa"/>
            <w:vAlign w:val="center"/>
          </w:tcPr>
          <w:p w14:paraId="7CB46C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CHH饮食</w:t>
            </w:r>
          </w:p>
        </w:tc>
        <w:tc>
          <w:tcPr>
            <w:tcW w:w="6602" w:type="dxa"/>
            <w:vAlign w:val="center"/>
          </w:tcPr>
          <w:p w14:paraId="0BA73C0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高血压患者食用CHH饮食可降低收缩压10mmHg,舒张压3.8mmHg[169]研究者认为,如果坚持CHH饮食,主要心血管疾病将减少20%,心力衰竭减少28%,全因死亡减少13%[169]</w:t>
            </w:r>
          </w:p>
        </w:tc>
      </w:tr>
      <w:tr w14:paraId="742C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17" w:type="dxa"/>
            <w:vAlign w:val="center"/>
          </w:tcPr>
          <w:p w14:paraId="5FE718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辣膳食</w:t>
            </w:r>
          </w:p>
        </w:tc>
        <w:tc>
          <w:tcPr>
            <w:tcW w:w="6602" w:type="dxa"/>
            <w:vAlign w:val="center"/>
          </w:tcPr>
          <w:p w14:paraId="36BE83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120" w:afterAutospacing="0" w:line="360" w:lineRule="auto"/>
              <w:ind w:left="0" w:leftChars="0" w:right="0" w:firstLine="480" w:firstLineChars="200"/>
              <w:jc w:val="left"/>
            </w:pP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女性中,每周吃辣大于3次者比从不吃辣者出现高血压的风险降低12%,每周吃辛辣食物的次数越多,收缩压、舒张压下降越明显[170]</w:t>
            </w:r>
            <w:r>
              <w:rPr>
                <w:rFonts w:hint="default" w:ascii="宋体" w:hAnsi="宋体" w:eastAsia="宋体" w:cs="宋体"/>
                <w:b w:val="0"/>
                <w:i w:val="0"/>
                <w:iCs w:val="0"/>
                <w:caps w:val="0"/>
                <w:strike w:val="0"/>
                <w:color w:val="auto"/>
                <w:spacing w:val="0"/>
                <w:sz w:val="24"/>
                <w:szCs w:val="13"/>
                <w:u w:val="none"/>
                <w:lang w:val="en-US" w:eastAsia="zh-CN"/>
              </w:rPr>
              <w:t>在不喝酒的人中,每天吃辣者比从不吃辣者出现高血压的风险降低28%[170]爱吃辣者较不爱吃辣者每天减少摄盐量2.5g,收缩压和舒张压较之分别低6.6mmHg和4.0mmHg</w:t>
            </w:r>
          </w:p>
        </w:tc>
      </w:tr>
    </w:tbl>
    <w:p w14:paraId="7C4CAEF5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3"/>
          <w:u w:val="none"/>
          <w:lang w:val="en-US" w:eastAsia="zh-CN"/>
        </w:rPr>
      </w:pPr>
    </w:p>
    <w:p w14:paraId="39443CD2">
      <w:pPr>
        <w:pStyle w:val="2"/>
        <w:rPr>
          <w:rFonts w:hint="default" w:ascii="仿宋_GB2312" w:hAnsi="微软雅黑" w:eastAsia="仿宋_GB2312" w:cs="仿宋_GB2312"/>
          <w:b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b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附件1</w:t>
      </w:r>
    </w:p>
    <w:p w14:paraId="0B48FA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OGTT方法[8]</w:t>
      </w:r>
    </w:p>
    <w:p w14:paraId="327C2F7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晨7:00—9:00开始，受试者空腹8~10h后口服溶于300ml水内的无水葡萄糖粉75g（如用1分子水葡萄糖则为82.5g）。儿童则予每千克体重1.75g，总量不超过75g。糖水在5min之内服完。</w:t>
      </w:r>
    </w:p>
    <w:p w14:paraId="6495D35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从服糖第1口开始计时，于服糖前和服糖后2h分别在前臂采静脉血检测血糖。</w:t>
      </w:r>
    </w:p>
    <w:p w14:paraId="5F53065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试验过程中，受试者不喝茶及咖啡，不吸烟，不做剧烈运动，但无须绝对卧床。</w:t>
      </w:r>
    </w:p>
    <w:p w14:paraId="190AD8D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血标本应尽快送检。</w:t>
      </w:r>
    </w:p>
    <w:p w14:paraId="11D048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试验前3d内，每日碳水化合物摄入量不少于150g。</w:t>
      </w:r>
    </w:p>
    <w:p w14:paraId="515C5B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疾病允许情况下，试验前停用可能影响OGTT的药物如避孕药、利尿剂或苯妥英钠等3~7d。</w:t>
      </w:r>
    </w:p>
    <w:p w14:paraId="0F545DF9">
      <w:pPr>
        <w:keepNext/>
        <w:keepLines/>
        <w:widowControl w:val="0"/>
        <w:spacing w:before="260" w:beforeLines="0" w:beforeAutospacing="0" w:after="260" w:afterLines="0" w:afterAutospacing="0" w:line="413" w:lineRule="auto"/>
        <w:jc w:val="both"/>
        <w:outlineLvl w:val="2"/>
        <w:rPr>
          <w:rFonts w:hint="default" w:ascii="仿宋_GB2312" w:hAnsi="微软雅黑" w:eastAsia="仿宋_GB2312" w:cs="仿宋_GB2312"/>
          <w:b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b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附件2</w:t>
      </w:r>
    </w:p>
    <w:p w14:paraId="6EEAFA30">
      <w:pPr>
        <w:pStyle w:val="3"/>
        <w:rPr>
          <w:rFonts w:hint="default" w:ascii="仿宋_GB2312" w:hAnsi="微软雅黑" w:eastAsia="仿宋_GB2312" w:cs="仿宋_GB2312"/>
          <w:b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b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糖尿病高危人群定义</w:t>
      </w:r>
    </w:p>
    <w:p w14:paraId="2BF0E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具有下列任何一个及以上的糖尿病危险因素者，可视为2型糖尿病高危人群：</w:t>
      </w:r>
    </w:p>
    <w:p w14:paraId="5831F27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有糖尿病前期史。</w:t>
      </w:r>
    </w:p>
    <w:p w14:paraId="7A2AD7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年龄≥40岁。</w:t>
      </w:r>
    </w:p>
    <w:p w14:paraId="2B35F8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BMI≥24kg/m²和/或向心性肥胖（男性腰围≥90cm，女性腰围≥85cm）。</w:t>
      </w:r>
    </w:p>
    <w:p w14:paraId="57E6DC4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一级亲属（父母、同胞、子女）有糖尿病史。</w:t>
      </w:r>
    </w:p>
    <w:p w14:paraId="043C74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缺乏体力活动者。</w:t>
      </w:r>
    </w:p>
    <w:p w14:paraId="03234D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有巨大儿分娩史或有妊娠期糖尿病病史的女性。</w:t>
      </w:r>
    </w:p>
    <w:p w14:paraId="09D5F56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有多囊卵巢综合征（PCOS）病史的女性。</w:t>
      </w:r>
    </w:p>
    <w:p w14:paraId="13D013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有黑棘皮病者。</w:t>
      </w:r>
    </w:p>
    <w:p w14:paraId="300D8E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有高血压史，或正在接受降压治疗者。</w:t>
      </w:r>
    </w:p>
    <w:p w14:paraId="0C93851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HDL - C&lt;0.90mmol/L和/或TG&gt;2.22mmol/L，或正在接受调脂治疗者。</w:t>
      </w:r>
    </w:p>
    <w:p w14:paraId="37AF91C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有ASCVD史。</w:t>
      </w:r>
    </w:p>
    <w:p w14:paraId="7F5133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1120" w:leftChars="0" w:right="0" w:hanging="560" w:firstLineChars="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有类固醇类药物使用史。</w:t>
      </w:r>
    </w:p>
    <w:p w14:paraId="128F1DA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firstLine="420"/>
        <w:jc w:val="left"/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222222"/>
          <w:spacing w:val="0"/>
          <w:kern w:val="0"/>
          <w:sz w:val="28"/>
          <w:szCs w:val="28"/>
          <w:u w:val="none"/>
          <w:bdr w:val="none" w:color="auto" w:sz="0" w:space="0"/>
          <w:shd w:val="clear" w:fill="FFFFFF"/>
          <w:lang w:val="en-US" w:eastAsia="zh-CN" w:bidi="ar"/>
        </w:rPr>
        <w:t>长期接受抗精神病药物或抗抑郁药药物治疗。</w:t>
      </w:r>
      <w:bookmarkStart w:id="0" w:name="_GoBack"/>
      <w:bookmarkEnd w:id="0"/>
    </w:p>
    <w:p w14:paraId="01717249">
      <w:pPr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480" w:firstLineChars="200"/>
        <w:jc w:val="left"/>
        <w:rPr>
          <w:rFonts w:hint="default" w:ascii="宋体" w:hAnsi="宋体" w:eastAsia="宋体" w:cs="宋体"/>
          <w:b w:val="0"/>
          <w:i w:val="0"/>
          <w:iCs w:val="0"/>
          <w:caps w:val="0"/>
          <w:strike w:val="0"/>
          <w:color w:val="auto"/>
          <w:spacing w:val="0"/>
          <w:sz w:val="24"/>
          <w:szCs w:val="13"/>
          <w:u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Aurebe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urebesh">
    <w:panose1 w:val="02000500000000000000"/>
    <w:charset w:val="00"/>
    <w:family w:val="auto"/>
    <w:pitch w:val="default"/>
    <w:sig w:usb0="800000A7" w:usb1="5000004A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96B017"/>
    <w:multiLevelType w:val="singleLevel"/>
    <w:tmpl w:val="B396B01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9AF16A9"/>
    <w:multiLevelType w:val="singleLevel"/>
    <w:tmpl w:val="D9AF16A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15575469"/>
    <w:multiLevelType w:val="singleLevel"/>
    <w:tmpl w:val="1557546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414A3"/>
    <w:rsid w:val="016F05E9"/>
    <w:rsid w:val="040D577E"/>
    <w:rsid w:val="4E6414A3"/>
    <w:rsid w:val="5FFA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994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2025-11-27T12:21:00Z</dcterms:created>
  <dc:creator>星辰</dc:creator>
  <cp:lastModifiedBy>星辰</cp:lastModifiedBy>
  <dcterms:modified xsi:type="dcterms:W3CDTF">2025-11-28T07:00:35Z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F545BCE3AA9547039C48CFFAF6CD5C84_11</vt:lpwstr>
  </property>
  <property fmtid="{D5CDD505-2E9C-101B-9397-08002B2CF9AE}" pid="4" name="KSOTemplateDocerSaveRecord">
    <vt:lpwstr>eyJoZGlkIjoiNDM5NGE5YzI3YmNjNGIwNzJmYTBiNWM4MGZjYTgyNWEiLCJ1c2VySWQiOiI4MjIxNDE5NTkifQ==</vt:lpwstr>
  </property>
</Properties>
</file>