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FF2E2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诊疗关键点</w:t>
      </w:r>
    </w:p>
    <w:p w14:paraId="78ED9BF8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糖尿病诊断：典型症状为“三多一少”（多饮、多食、多尿、体重减轻）+ 血糖升高，症状典型者易诊断；多数患者无明显症状，需通过化验检测确诊，两次检测结果异常即可诊断；高危人群是重要筛查线索，需重视早期筛查以实现早发现。</w:t>
      </w:r>
    </w:p>
    <w:p w14:paraId="2A004D29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糖尿病治疗：牢记“五驾马车”原则，即做好糖尿病教育、坚持血糖监测、科学饮食管控、规律运动锻炼、规范药物治疗，全方位落实治疗方案。</w:t>
      </w:r>
    </w:p>
    <w:p w14:paraId="0A96DD9A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糖尿病管理：推行“三高共管”策略，同步实现降血糖、降血压、调血脂目标，全面降低并发症风险。</w:t>
      </w:r>
    </w:p>
    <w:p w14:paraId="7A772307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糖尿病转诊：出现以下情况需及时转诊：发病紧急（如酮症酸中毒等急性并发症）、临床分型困难、血糖控制不佳（经规范治疗后仍不达标）、并发症严重（如严重肾病、视网膜病变、神经病变等）。</w:t>
      </w:r>
    </w:p>
    <w:p w14:paraId="6516EEFE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1FEC51D6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（一）高血糖状态分类（表 1）</w:t>
      </w:r>
    </w:p>
    <w:p w14:paraId="3FD2DDE5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高血糖状态分类（WHO 1999)</w:t>
      </w:r>
    </w:p>
    <w:tbl>
      <w:tblPr>
        <w:tblStyle w:val="6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2"/>
        <w:gridCol w:w="2781"/>
        <w:gridCol w:w="3066"/>
      </w:tblGrid>
      <w:tr w14:paraId="2B090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8" w:type="pct"/>
            <w:vMerge w:val="restart"/>
          </w:tcPr>
          <w:p w14:paraId="52533549">
            <w:pPr>
              <w:widowControl w:val="0"/>
              <w:numPr>
                <w:ilvl w:val="0"/>
                <w:numId w:val="0"/>
              </w:numPr>
              <w:snapToGrid w:val="0"/>
              <w:ind w:left="0" w:leftChars="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糖代谢分类</w:t>
            </w:r>
          </w:p>
        </w:tc>
        <w:tc>
          <w:tcPr>
            <w:tcW w:w="3431" w:type="pct"/>
            <w:gridSpan w:val="2"/>
          </w:tcPr>
          <w:p w14:paraId="7CB1544F">
            <w:pPr>
              <w:widowControl w:val="0"/>
              <w:numPr>
                <w:ilvl w:val="0"/>
                <w:numId w:val="0"/>
              </w:numPr>
              <w:snapToGrid w:val="0"/>
              <w:ind w:left="0" w:leftChars="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静脉血浆葡萄糖（mmol/L）</w:t>
            </w:r>
          </w:p>
        </w:tc>
      </w:tr>
      <w:tr w14:paraId="696C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8" w:type="pct"/>
            <w:vMerge w:val="continue"/>
          </w:tcPr>
          <w:p w14:paraId="37E57634">
            <w:pPr>
              <w:widowControl w:val="0"/>
              <w:snapToGrid w:val="0"/>
              <w:ind w:left="0" w:leftChars="0"/>
              <w:jc w:val="left"/>
            </w:pPr>
          </w:p>
        </w:tc>
        <w:tc>
          <w:tcPr>
            <w:tcW w:w="1632" w:type="pct"/>
          </w:tcPr>
          <w:p w14:paraId="05C7A59F">
            <w:pPr>
              <w:widowControl w:val="0"/>
              <w:numPr>
                <w:ilvl w:val="0"/>
                <w:numId w:val="0"/>
              </w:numPr>
              <w:snapToGrid w:val="0"/>
              <w:ind w:left="0" w:left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空腹</w:t>
            </w:r>
          </w:p>
        </w:tc>
        <w:tc>
          <w:tcPr>
            <w:tcW w:w="1798" w:type="pct"/>
          </w:tcPr>
          <w:p w14:paraId="4074B82E">
            <w:pPr>
              <w:widowControl w:val="0"/>
              <w:numPr>
                <w:ilvl w:val="0"/>
                <w:numId w:val="0"/>
              </w:numPr>
              <w:snapToGrid w:val="0"/>
              <w:ind w:left="0" w:leftChars="0"/>
              <w:jc w:val="left"/>
              <w:rPr>
                <w:rFonts w:hint="default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OGTT 2h</w:t>
            </w:r>
          </w:p>
        </w:tc>
      </w:tr>
      <w:tr w14:paraId="5CF52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8" w:type="pct"/>
          </w:tcPr>
          <w:p w14:paraId="737B030D">
            <w:pPr>
              <w:widowControl w:val="0"/>
              <w:numPr>
                <w:ilvl w:val="0"/>
                <w:numId w:val="0"/>
              </w:numPr>
              <w:snapToGrid w:val="0"/>
              <w:ind w:left="0" w:leftChars="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IFG</w:t>
            </w:r>
          </w:p>
        </w:tc>
        <w:tc>
          <w:tcPr>
            <w:tcW w:w="1632" w:type="pct"/>
          </w:tcPr>
          <w:p w14:paraId="5EA284F7">
            <w:pPr>
              <w:widowControl w:val="0"/>
              <w:numPr>
                <w:ilvl w:val="0"/>
                <w:numId w:val="0"/>
              </w:numPr>
              <w:snapToGrid w:val="0"/>
              <w:ind w:left="0" w:leftChars="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6.1~&lt;7.0</w:t>
            </w:r>
          </w:p>
        </w:tc>
        <w:tc>
          <w:tcPr>
            <w:tcW w:w="1798" w:type="pct"/>
          </w:tcPr>
          <w:p w14:paraId="723E6627">
            <w:pPr>
              <w:widowControl w:val="0"/>
              <w:numPr>
                <w:ilvl w:val="0"/>
                <w:numId w:val="0"/>
              </w:numPr>
              <w:snapToGrid w:val="0"/>
              <w:ind w:left="0" w:leftChars="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&lt;7.8</w:t>
            </w:r>
          </w:p>
        </w:tc>
      </w:tr>
      <w:tr w14:paraId="54B42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8" w:type="pct"/>
          </w:tcPr>
          <w:p w14:paraId="1B12807E">
            <w:pPr>
              <w:widowControl w:val="0"/>
              <w:numPr>
                <w:ilvl w:val="0"/>
                <w:numId w:val="0"/>
              </w:numPr>
              <w:snapToGrid w:val="0"/>
              <w:ind w:left="0" w:leftChars="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IGT</w:t>
            </w:r>
          </w:p>
        </w:tc>
        <w:tc>
          <w:tcPr>
            <w:tcW w:w="1632" w:type="pct"/>
          </w:tcPr>
          <w:p w14:paraId="0D899288">
            <w:pPr>
              <w:widowControl w:val="0"/>
              <w:numPr>
                <w:ilvl w:val="0"/>
                <w:numId w:val="0"/>
              </w:numPr>
              <w:snapToGrid w:val="0"/>
              <w:ind w:left="0" w:leftChars="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&lt;7.0</w:t>
            </w:r>
          </w:p>
        </w:tc>
        <w:tc>
          <w:tcPr>
            <w:tcW w:w="1798" w:type="pct"/>
          </w:tcPr>
          <w:p w14:paraId="4E1E5007">
            <w:pPr>
              <w:widowControl w:val="0"/>
              <w:numPr>
                <w:ilvl w:val="0"/>
                <w:numId w:val="0"/>
              </w:numPr>
              <w:snapToGrid w:val="0"/>
              <w:ind w:left="0" w:leftChars="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7.8~&lt;11.1</w:t>
            </w:r>
          </w:p>
        </w:tc>
      </w:tr>
      <w:tr w14:paraId="37903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8" w:type="pct"/>
          </w:tcPr>
          <w:p w14:paraId="592F9DAD">
            <w:pPr>
              <w:widowControl w:val="0"/>
              <w:numPr>
                <w:ilvl w:val="0"/>
                <w:numId w:val="0"/>
              </w:numPr>
              <w:snapToGrid w:val="0"/>
              <w:ind w:left="0" w:leftChars="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糖尿病</w:t>
            </w:r>
          </w:p>
        </w:tc>
        <w:tc>
          <w:tcPr>
            <w:tcW w:w="1632" w:type="pct"/>
          </w:tcPr>
          <w:p w14:paraId="33387ED7">
            <w:pPr>
              <w:widowControl w:val="0"/>
              <w:numPr>
                <w:ilvl w:val="0"/>
                <w:numId w:val="0"/>
              </w:numPr>
              <w:snapToGrid w:val="0"/>
              <w:ind w:left="0" w:leftChars="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≥7.0</w:t>
            </w:r>
          </w:p>
        </w:tc>
        <w:tc>
          <w:tcPr>
            <w:tcW w:w="1798" w:type="pct"/>
          </w:tcPr>
          <w:p w14:paraId="7F610619">
            <w:pPr>
              <w:widowControl w:val="0"/>
              <w:numPr>
                <w:ilvl w:val="0"/>
                <w:numId w:val="0"/>
              </w:numPr>
              <w:snapToGrid w:val="0"/>
              <w:ind w:left="0" w:leftChars="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≥11.1</w:t>
            </w:r>
          </w:p>
        </w:tc>
      </w:tr>
    </w:tbl>
    <w:p w14:paraId="4BB345A8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  </w:t>
      </w:r>
    </w:p>
    <w:p w14:paraId="47DE271A">
      <w:pPr>
        <w:widowControl w:val="0"/>
        <w:numPr>
          <w:ilvl w:val="0"/>
          <w:numId w:val="1"/>
        </w:numPr>
        <w:jc w:val="left"/>
        <w:rPr>
          <w:rFonts w:hint="default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糖尿病诊断标准［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8</w:t>
      </w:r>
      <w:r>
        <w:rPr>
          <w:rFonts w:hint="default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］（表 2）</w:t>
      </w:r>
    </w:p>
    <w:p w14:paraId="2024BAD2">
      <w:pPr>
        <w:widowControl w:val="0"/>
        <w:numPr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表 2 糖尿病诊断标准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6FC0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D5BCEB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诊断标准</w:t>
            </w:r>
          </w:p>
        </w:tc>
        <w:tc>
          <w:tcPr>
            <w:tcW w:w="4261" w:type="dxa"/>
          </w:tcPr>
          <w:p w14:paraId="20468798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静脉血浆葡萄糖或HbA1c水平</w:t>
            </w:r>
          </w:p>
        </w:tc>
      </w:tr>
      <w:tr w14:paraId="1087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2"/>
          </w:tcPr>
          <w:p w14:paraId="0EFC46E9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典型糖尿病症状</w:t>
            </w:r>
          </w:p>
        </w:tc>
      </w:tr>
      <w:tr w14:paraId="6FBE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F45960D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加上随机血糖</w:t>
            </w:r>
          </w:p>
        </w:tc>
        <w:tc>
          <w:tcPr>
            <w:tcW w:w="4261" w:type="dxa"/>
          </w:tcPr>
          <w:p w14:paraId="367BC2D9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≥11.1mmol/L</w:t>
            </w:r>
          </w:p>
        </w:tc>
      </w:tr>
      <w:tr w14:paraId="0F36A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14920F6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或加上空腹血糖</w:t>
            </w:r>
          </w:p>
        </w:tc>
        <w:tc>
          <w:tcPr>
            <w:tcW w:w="4261" w:type="dxa"/>
          </w:tcPr>
          <w:p w14:paraId="2B224D8F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≥7.0mmol/L</w:t>
            </w:r>
          </w:p>
        </w:tc>
      </w:tr>
      <w:tr w14:paraId="38606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739C2BCB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或加上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OGTT2h血糖</w:t>
            </w:r>
          </w:p>
        </w:tc>
        <w:tc>
          <w:tcPr>
            <w:tcW w:w="4261" w:type="dxa"/>
          </w:tcPr>
          <w:p w14:paraId="3377C4EC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≥11.1mmol/L</w:t>
            </w:r>
          </w:p>
        </w:tc>
      </w:tr>
      <w:tr w14:paraId="4A286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CC83A80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或加上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HbA1c</w:t>
            </w:r>
          </w:p>
        </w:tc>
        <w:tc>
          <w:tcPr>
            <w:tcW w:w="4261" w:type="dxa"/>
          </w:tcPr>
          <w:p w14:paraId="113556FB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≥6.5%</w:t>
            </w:r>
          </w:p>
        </w:tc>
      </w:tr>
      <w:tr w14:paraId="45B0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789B7273">
            <w:pPr>
              <w:widowControl w:val="0"/>
              <w:numPr>
                <w:numId w:val="0"/>
              </w:numPr>
              <w:jc w:val="left"/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strike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无糖尿病典型症状者，须改日复查确认</w:t>
            </w:r>
          </w:p>
        </w:tc>
      </w:tr>
    </w:tbl>
    <w:p w14:paraId="17D5B07E">
      <w:pPr>
        <w:widowControl w:val="0"/>
        <w:numPr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A891EAF">
      <w:pPr>
        <w:pStyle w:val="2"/>
        <w:spacing w:before="0"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糖尿病治疗 </w:t>
      </w:r>
    </w:p>
    <w:p w14:paraId="7861A44C">
      <w:pPr>
        <w:pStyle w:val="2"/>
        <w:numPr>
          <w:ilvl w:val="0"/>
          <w:numId w:val="2"/>
        </w:numPr>
        <w:spacing w:before="0" w:after="120" w:line="360" w:lineRule="auto"/>
        <w:ind w:left="120" w:leftChars="0" w:firstLine="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治疗原则 糖尿病治疗遵循综合管理原则，需全面控制高血糖、高血压、血脂异常、超重肥胖、高凝状态等心血管多重危险因素；以生活方式干预为基础，必要时配合药物治疗，核心目标是提高患者生存质量、延长预期寿命。同时，需根据患者年龄、病程、预期寿命、并发症/合并症严重程度等个体情况，制定个性化控制目标。 </w:t>
      </w:r>
    </w:p>
    <w:p w14:paraId="2355BD18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120" w:leftChars="0" w:firstLine="0" w:firstLineChars="0"/>
        <w:jc w:val="left"/>
        <w:outlineLvl w:val="0"/>
        <w:rPr>
          <w:rFonts w:hint="eastAsia" w:ascii="宋体" w:hAnsi="宋体" w:eastAsia="宋体" w:cs="宋体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二、药物治疗</w:t>
      </w:r>
    </w:p>
    <w:p w14:paraId="351DEBB4">
      <w:pPr>
        <w:widowControl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（一）启动药物治疗的时机</w:t>
      </w:r>
    </w:p>
    <w:p w14:paraId="44EF73CA">
      <w:pPr>
        <w:widowControl w:val="0"/>
        <w:ind w:left="0" w:leftChars="0"/>
        <w:jc w:val="left"/>
        <w:rPr>
          <w:rFonts w:hint="default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生活方式干预是2型糖尿病的基础治疗措施，应贯穿于糖尿病治疗的始终。对初诊血糖控制较好的糖尿病患者，医生可根据病情及患者意愿采取单纯生活方式干预；若单纯生活方式干预不能使血糖控制达标，应及时启动药物治疗。</w:t>
      </w:r>
    </w:p>
    <w:p w14:paraId="28B60775">
      <w:pPr>
        <w:widowControl w:val="0"/>
        <w:ind w:left="0" w:leftChars="0" w:firstLine="0" w:firstLineChars="0"/>
        <w:jc w:val="left"/>
        <w:rPr>
          <w:rFonts w:hint="default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（二）药物治疗的注意事项</w:t>
      </w:r>
    </w:p>
    <w:p w14:paraId="7D9F55C2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1.药物治疗前需根据药品说明书进行禁忌证审查；</w:t>
      </w:r>
    </w:p>
    <w:p w14:paraId="44F367A7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2.不同类型药物可联用，同一类药物应避免同时使用；</w:t>
      </w:r>
    </w:p>
    <w:p w14:paraId="56AD7CC0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3.使用降糖药物时，需开展低血糖警示教育，尤其针对使用胰岛素促泌剂及胰岛素的患者；</w:t>
      </w:r>
    </w:p>
    <w:p w14:paraId="2366E6AA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4.降糖药物使用期间应进行血糖监测，接受胰岛素治疗的患者需重点监测；</w:t>
      </w:r>
    </w:p>
    <w:p w14:paraId="29AA52A4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5.选择药物时，应综合考虑患者的经济能力和治疗依从性。</w:t>
      </w:r>
    </w:p>
    <w:p w14:paraId="1A6F338E">
      <w:pPr>
        <w:widowControl w:val="0"/>
        <w:ind w:left="0" w:leftChars="0" w:firstLine="0" w:firstLineChars="0"/>
        <w:jc w:val="left"/>
        <w:rPr>
          <w:rFonts w:hint="default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（三）降糖药物的选择</w:t>
      </w:r>
    </w:p>
    <w:p w14:paraId="5477C5A7">
      <w:pPr>
        <w:widowControl w:val="0"/>
        <w:ind w:left="0" w:leftChars="0"/>
        <w:jc w:val="left"/>
        <w:rPr>
          <w:rFonts w:hint="default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基层医疗机构需根据患者具体病情制定治疗方案，并指导患者规范用药，具体药物禁忌证以药品说明书为准。</w:t>
      </w:r>
    </w:p>
    <w:p w14:paraId="1B5B9F50">
      <w:pPr>
        <w:widowControl w:val="0"/>
        <w:numPr>
          <w:ilvl w:val="0"/>
          <w:numId w:val="0"/>
        </w:numPr>
        <w:ind w:left="-480" w:leftChars="0"/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二甲双胍</w:t>
      </w:r>
    </w:p>
    <w:p w14:paraId="49694AC9">
      <w:pPr>
        <w:widowControl w:val="0"/>
        <w:numPr>
          <w:ilvl w:val="0"/>
          <w:numId w:val="0"/>
        </w:numPr>
        <w:ind w:left="480" w:leftChars="0" w:hanging="480" w:firstLineChars="0"/>
        <w:jc w:val="left"/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Symbol" w:hAnsi="Symbol" w:cs="Symbol" w:eastAsia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</w:t>
      </w:r>
      <w:r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定位：2型糖尿病患者的基础用药，无禁忌证且能耐受者，应贯穿药物治疗全程；</w:t>
      </w:r>
    </w:p>
    <w:p w14:paraId="12CA3FEC">
      <w:pPr>
        <w:widowControl w:val="0"/>
        <w:numPr>
          <w:ilvl w:val="0"/>
          <w:numId w:val="0"/>
        </w:numPr>
        <w:ind w:left="480" w:leftChars="0" w:hanging="480" w:firstLineChars="0"/>
        <w:jc w:val="left"/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Symbol" w:hAnsi="Symbol" w:cs="Symbol" w:eastAsia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</w:t>
      </w:r>
      <w:r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药理作用：减少肝脏葡萄糖输出，改善外周胰岛素抵抗；</w:t>
      </w:r>
    </w:p>
    <w:p w14:paraId="5FCDDDBB">
      <w:pPr>
        <w:widowControl w:val="0"/>
        <w:numPr>
          <w:ilvl w:val="0"/>
          <w:numId w:val="0"/>
        </w:numPr>
        <w:ind w:left="480" w:leftChars="0" w:hanging="480" w:firstLineChars="0"/>
        <w:jc w:val="left"/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Symbol" w:hAnsi="Symbol" w:cs="Symbol" w:eastAsia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</w:t>
      </w:r>
      <w:r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主要不良反应：胃肠道反应；</w:t>
      </w:r>
    </w:p>
    <w:p w14:paraId="41ECF830">
      <w:pPr>
        <w:widowControl w:val="0"/>
        <w:numPr>
          <w:ilvl w:val="0"/>
          <w:numId w:val="0"/>
        </w:numPr>
        <w:ind w:left="480" w:leftChars="0" w:hanging="480" w:firstLineChars="0"/>
        <w:jc w:val="left"/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Symbol" w:hAnsi="Symbol" w:cs="Symbol" w:eastAsia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</w:t>
      </w:r>
      <w:r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严重不良反应：乳酸性酸中毒；</w:t>
      </w:r>
    </w:p>
    <w:p w14:paraId="27E7E04F">
      <w:pPr>
        <w:widowControl w:val="0"/>
        <w:numPr>
          <w:ilvl w:val="0"/>
          <w:numId w:val="0"/>
        </w:numPr>
        <w:ind w:left="480" w:leftChars="0" w:hanging="480" w:firstLineChars="0"/>
        <w:jc w:val="left"/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Symbol" w:hAnsi="Symbol" w:cs="Symbol" w:eastAsia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</w:t>
      </w:r>
      <w:r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禁忌证：肾功能不全［血肌酐水平男性&gt;132.6 μmol/L（1.5 mg/dl）、女性&gt;123.8 μmol/L（1.4 mg/dl），或估算肾小球滤过率（eGFR）&lt;45 ml·min⁻¹·1.73m⁻²］、肝功能不全、糖尿病急性并发症、严重感染、缺氧、接受大手术、酗酒者等；</w:t>
      </w:r>
    </w:p>
    <w:p w14:paraId="35A61CBA">
      <w:pPr>
        <w:widowControl w:val="0"/>
        <w:numPr>
          <w:ilvl w:val="0"/>
          <w:numId w:val="0"/>
        </w:numPr>
        <w:ind w:left="480" w:leftChars="0" w:hanging="480" w:firstLineChars="0"/>
        <w:jc w:val="left"/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Symbol" w:hAnsi="Symbol" w:cs="Symbol" w:eastAsia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</w:t>
      </w:r>
      <w:r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特殊注意：造影检查使用碘化对比剂时，需暂时停用二甲双胍，多饮水，检查完成至少48小时后复查肾功能无恶化，方可继续用药。</w:t>
      </w:r>
    </w:p>
    <w:p w14:paraId="4743558A">
      <w:pPr>
        <w:widowControl w:val="0"/>
        <w:numPr>
          <w:ilvl w:val="0"/>
          <w:numId w:val="0"/>
        </w:numPr>
        <w:ind w:left="-480" w:leftChars="0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胰岛素促泌剂</w:t>
      </w:r>
    </w:p>
    <w:p w14:paraId="538AEA88">
      <w:pPr>
        <w:widowControl w:val="0"/>
        <w:numPr>
          <w:ilvl w:val="0"/>
          <w:numId w:val="0"/>
        </w:numPr>
        <w:ind w:left="480" w:leftChars="0" w:hanging="480" w:firstLineChars="0"/>
        <w:jc w:val="left"/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Symbol" w:hAnsi="Symbol" w:cs="Symbol" w:eastAsia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</w:t>
      </w:r>
      <w:r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类别：包括磺脲类和格列奈类药物；</w:t>
      </w:r>
    </w:p>
    <w:p w14:paraId="4FBB6689">
      <w:pPr>
        <w:widowControl w:val="0"/>
        <w:numPr>
          <w:ilvl w:val="0"/>
          <w:numId w:val="0"/>
        </w:numPr>
        <w:ind w:left="480" w:leftChars="0" w:hanging="480" w:firstLineChars="0"/>
        <w:jc w:val="left"/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Symbol" w:hAnsi="Symbol" w:cs="Symbol" w:eastAsia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</w:t>
      </w:r>
      <w:r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药理作用：促进胰岛β细胞分泌胰岛素，增加体内胰岛素水平；</w:t>
      </w:r>
    </w:p>
    <w:p w14:paraId="608E91A6">
      <w:pPr>
        <w:widowControl w:val="0"/>
        <w:numPr>
          <w:ilvl w:val="0"/>
          <w:numId w:val="0"/>
        </w:numPr>
        <w:ind w:left="480" w:leftChars="0" w:hanging="480" w:firstLineChars="0"/>
        <w:jc w:val="left"/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Symbol" w:hAnsi="Symbol" w:cs="Symbol" w:eastAsia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</w:t>
      </w:r>
      <w:r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主要不良反应：低血糖、体重增加；</w:t>
      </w:r>
    </w:p>
    <w:p w14:paraId="7B89E951">
      <w:pPr>
        <w:widowControl w:val="0"/>
        <w:numPr>
          <w:ilvl w:val="0"/>
          <w:numId w:val="0"/>
        </w:numPr>
        <w:ind w:left="480" w:leftChars="0" w:hanging="480" w:firstLineChars="0"/>
        <w:jc w:val="left"/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Symbol" w:hAnsi="Symbol" w:cs="Symbol" w:eastAsia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</w:t>
      </w:r>
      <w:r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禁忌证：已明确诊断的1型糖尿病患者、2型糖尿病伴酮症酸中毒/糖尿病高渗状态、感染、外伤、重大手术等应激情况，严重肝肾功能不全、对该类药物过敏或有严重不良反应者等。</w:t>
      </w:r>
    </w:p>
    <w:p w14:paraId="050BA30A">
      <w:pPr>
        <w:widowControl w:val="0"/>
        <w:numPr>
          <w:ilvl w:val="0"/>
          <w:numId w:val="0"/>
        </w:numPr>
        <w:ind w:left="-480" w:leftChars="0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α - 糖苷酶抑制剂</w:t>
      </w:r>
    </w:p>
    <w:p w14:paraId="20E10393">
      <w:pPr>
        <w:numPr>
          <w:ilvl w:val="0"/>
          <w:numId w:val="0"/>
        </w:numPr>
        <w:spacing w:before="0" w:beforeAutospacing="1" w:after="0" w:afterAutospacing="1"/>
        <w:ind w:left="720" w:leftChars="0" w:hanging="360" w:firstLineChars="0"/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Symbol" w:hAnsi="Symbol" w:cs="Symbol" w:eastAsia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</w:t>
      </w:r>
      <w:r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药理作用：延缓碳水化合物在小肠上部的吸收；</w:t>
      </w:r>
    </w:p>
    <w:p w14:paraId="7A3ECB86">
      <w:pPr>
        <w:widowControl w:val="0"/>
        <w:numPr>
          <w:ilvl w:val="0"/>
          <w:numId w:val="0"/>
        </w:numPr>
        <w:spacing w:before="0" w:beforeAutospacing="1" w:after="0" w:afterAutospacing="1"/>
        <w:ind w:left="720" w:leftChars="0" w:hanging="360" w:firstLineChars="0"/>
        <w:jc w:val="both"/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Symbol" w:hAnsi="Symbol" w:cs="Symbol" w:eastAsia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</w:t>
      </w:r>
      <w:r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主要不良反应：胃肠道反应（如腹胀、排气增多等）；</w:t>
      </w:r>
    </w:p>
    <w:p w14:paraId="3A387454">
      <w:pPr>
        <w:widowControl w:val="0"/>
        <w:numPr>
          <w:ilvl w:val="0"/>
          <w:numId w:val="0"/>
        </w:numPr>
        <w:spacing w:before="0" w:beforeAutospacing="1" w:after="0" w:afterAutospacing="1"/>
        <w:ind w:left="720" w:leftChars="0" w:hanging="360" w:firstLineChars="0"/>
        <w:jc w:val="both"/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Symbol" w:hAnsi="Symbol" w:cs="Symbol" w:eastAsia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</w:t>
      </w:r>
      <w:r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禁忌证：有明显消化和吸收障碍的慢性胃肠功能紊乱患者、肠胀气可能恶化的疾患（如严重疝气、肠梗阻、肠溃疡）患者、糖尿病伴酮症酸中毒/糖尿病高渗状态、严重肝肾功能不全、对该类药物过敏者等。</w:t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374"/>
        <w:gridCol w:w="4088"/>
      </w:tblGrid>
      <w:tr w14:paraId="6034C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9C4AA5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0" w:name="_GoBack"/>
            <w:bookmarkEnd w:id="0"/>
            <w:r>
              <w:rPr>
                <w:rStyle w:val="8"/>
                <w:bdr w:val="none" w:color="auto" w:sz="0" w:space="0"/>
                <w:lang w:val="en-US" w:eastAsia="zh-CN" w:bidi="ar"/>
              </w:rPr>
              <w:t>检查项目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E4DA1C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8"/>
                <w:bdr w:val="none" w:color="auto" w:sz="0" w:space="0"/>
                <w:lang w:val="en-US" w:eastAsia="zh-CN" w:bidi="ar"/>
              </w:rPr>
              <w:t>针对的并发症 / 合并疾病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6F9816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8"/>
                <w:bdr w:val="none" w:color="auto" w:sz="0" w:space="0"/>
                <w:lang w:val="en-US" w:eastAsia="zh-CN" w:bidi="ar"/>
              </w:rPr>
              <w:t>检查频率</w:t>
            </w:r>
          </w:p>
        </w:tc>
      </w:tr>
      <w:tr w14:paraId="1E446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2344C0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体重、身高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8842CC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合并疾病：超重 / 肥胖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E25BAB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每月 1 次</w:t>
            </w:r>
          </w:p>
        </w:tc>
      </w:tr>
      <w:tr w14:paraId="40AC1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3F17E7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腰围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623C21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合并疾病：超重 / 肥胖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AA39C0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每月 1 次</w:t>
            </w:r>
          </w:p>
        </w:tc>
      </w:tr>
      <w:tr w14:paraId="34413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E54A91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血压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FF2CC4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合并疾病：高血压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ADB4A1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每月 1 次</w:t>
            </w:r>
          </w:p>
        </w:tc>
      </w:tr>
      <w:tr w14:paraId="0355F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545C08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空腹 / 餐后血糖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D5CB2F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DF357D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每月 2 次（1 次空腹，1 次餐后）</w:t>
            </w:r>
          </w:p>
        </w:tc>
      </w:tr>
      <w:tr w14:paraId="1973E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15FD53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糖化血红蛋白 Alc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612EDB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D4928A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治疗初期每 3 个月 1 次，达标后每 6 个月 1 次</w:t>
            </w:r>
          </w:p>
        </w:tc>
      </w:tr>
      <w:tr w14:paraId="79CF4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4E4FC7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尿常规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678E86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并发症：糖尿病肾脏病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F94CF8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每 6 个月 1 次</w:t>
            </w:r>
          </w:p>
        </w:tc>
      </w:tr>
      <w:tr w14:paraId="6C724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2E1E56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TC、HDL-C 等血脂指标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3768CF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合并疾病：血脂异常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AB4458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每年 1 次</w:t>
            </w:r>
          </w:p>
        </w:tc>
      </w:tr>
      <w:tr w14:paraId="10BDF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87B13A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尿白蛋白 / 尿肌酐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5F1476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并发症：糖尿病肾脏病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1F363E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每年 1 次（需有条件的医疗机构开展）</w:t>
            </w:r>
          </w:p>
        </w:tc>
      </w:tr>
      <w:tr w14:paraId="69BF0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36B3BC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血肌酐、尿素氮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3B1DD8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并发症：糖尿病肾脏病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A72486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每年 1 次</w:t>
            </w:r>
          </w:p>
        </w:tc>
      </w:tr>
      <w:tr w14:paraId="3FD0E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0B4901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肝功能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9C5937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合并疾病：肝功能异常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EFDD7C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每年 1 次（含胆红素、转氨酶等指标）</w:t>
            </w:r>
          </w:p>
        </w:tc>
      </w:tr>
      <w:tr w14:paraId="69B01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1A0580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心电图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345C0A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并发症：心脏、大血管病变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A785E9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每年 1 次</w:t>
            </w:r>
          </w:p>
        </w:tc>
      </w:tr>
      <w:tr w14:paraId="4D224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18C33B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视力及眼底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6DB74A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并发症：糖尿病视网膜病变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D95BFF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每年 1 次（需有条件的医疗机构开展）</w:t>
            </w:r>
          </w:p>
        </w:tc>
      </w:tr>
      <w:tr w14:paraId="19CD3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504890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足外观、足背动脉搏动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38ED9C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并发症：糖尿病足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09DC27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每年 4 次</w:t>
            </w:r>
          </w:p>
        </w:tc>
      </w:tr>
      <w:tr w14:paraId="70692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3404E6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神经病变相关检查</w:t>
            </w:r>
          </w:p>
        </w:tc>
        <w:tc>
          <w:tcPr>
            <w:tcW w:w="2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3CC33A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并发症：周围神经病变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E88E23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bdr w:val="none" w:color="auto" w:sz="0" w:space="0"/>
                <w:lang w:val="en-US" w:eastAsia="zh-CN" w:bidi="ar"/>
              </w:rPr>
              <w:t>每年 1 次</w:t>
            </w:r>
          </w:p>
        </w:tc>
      </w:tr>
    </w:tbl>
    <w:p w14:paraId="3725459A">
      <w:pPr>
        <w:widowControl w:val="0"/>
        <w:numPr>
          <w:ilvl w:val="0"/>
          <w:numId w:val="0"/>
        </w:numPr>
        <w:spacing w:before="0" w:beforeAutospacing="1" w:after="0" w:afterAutospacing="1"/>
        <w:ind w:left="720" w:leftChars="0" w:hanging="360" w:firstLineChars="0"/>
        <w:jc w:val="both"/>
        <w:rPr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FDA1D10">
      <w:pPr>
        <w:numPr>
          <w:numId w:val="0"/>
        </w:numPr>
        <w:ind w:left="120" w:leftChars="0"/>
        <w:rPr>
          <w:rFonts w:hint="default" w:ascii="Segoe UI" w:hAnsi="Segoe UI" w:eastAsia="宋体" w:cs="Segoe UI"/>
          <w:i w:val="0"/>
          <w:iCs w:val="0"/>
          <w:caps w:val="0"/>
          <w:spacing w:val="0"/>
          <w:sz w:val="15"/>
          <w:szCs w:val="15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urebesh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sans-serif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AAA120"/>
    <w:multiLevelType w:val="singleLevel"/>
    <w:tmpl w:val="CDAAA120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58809B4E"/>
    <w:multiLevelType w:val="singleLevel"/>
    <w:tmpl w:val="58809B4E"/>
    <w:lvl w:ilvl="0" w:tentative="0">
      <w:start w:val="1"/>
      <w:numFmt w:val="chineseCounting"/>
      <w:suff w:val="nothing"/>
      <w:lvlText w:val="%1、"/>
      <w:lvlJc w:val="left"/>
      <w:pPr>
        <w:ind w:left="120" w:leftChars="0" w:firstLine="0" w:firstLineChars="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0A3866"/>
    <w:rsid w:val="012B0DF9"/>
    <w:rsid w:val="091C11FF"/>
    <w:rsid w:val="100A3866"/>
    <w:rsid w:val="101218C0"/>
    <w:rsid w:val="11A25AC2"/>
    <w:rsid w:val="12257ED3"/>
    <w:rsid w:val="13A3144A"/>
    <w:rsid w:val="149A3A11"/>
    <w:rsid w:val="16C25174"/>
    <w:rsid w:val="181630EA"/>
    <w:rsid w:val="1CFF6E22"/>
    <w:rsid w:val="20BB17B2"/>
    <w:rsid w:val="27303A79"/>
    <w:rsid w:val="2BA95BD3"/>
    <w:rsid w:val="2E4E3132"/>
    <w:rsid w:val="30C93CB2"/>
    <w:rsid w:val="42CF666F"/>
    <w:rsid w:val="47A17006"/>
    <w:rsid w:val="47A63299"/>
    <w:rsid w:val="47DE5926"/>
    <w:rsid w:val="4A4B6D70"/>
    <w:rsid w:val="4D930670"/>
    <w:rsid w:val="4E8D6A5F"/>
    <w:rsid w:val="52534991"/>
    <w:rsid w:val="54E513C7"/>
    <w:rsid w:val="55924932"/>
    <w:rsid w:val="7053007F"/>
    <w:rsid w:val="74AA2DF3"/>
    <w:rsid w:val="7552678A"/>
    <w:rsid w:val="7B3A48B6"/>
    <w:rsid w:val="7C90513E"/>
    <w:rsid w:val="7E491547"/>
    <w:rsid w:val="7F6E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11"/>
    <w:basedOn w:val="7"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9">
    <w:name w:val="font21"/>
    <w:basedOn w:val="7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368</Words>
  <Characters>417</Characters>
  <Lines>0</Lines>
  <Paragraphs>0</Paragraphs>
  <TotalTime>66</TotalTime>
  <ScaleCrop>false</ScaleCrop>
  <LinksUpToDate>false</LinksUpToDate>
  <CharactersWithSpaces>429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2025-11-27T13:18:00Z</dcterms:created>
  <dc:creator>星辰</dc:creator>
  <cp:lastModifiedBy>星辰</cp:lastModifiedBy>
  <dcterms:modified xsi:type="dcterms:W3CDTF">2025-11-28T06:41:26Z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1974DED924D94F7998BC717C7D80509D_11</vt:lpwstr>
  </property>
  <property fmtid="{D5CDD505-2E9C-101B-9397-08002B2CF9AE}" pid="4" name="KSOTemplateDocerSaveRecord">
    <vt:lpwstr>eyJoZGlkIjoiNDM5NGE5YzI3YmNjNGIwNzJmYTBiNWM4MGZjYTgyNWEiLCJ1c2VySWQiOiI4MjIxNDE5NTkifQ==</vt:lpwstr>
  </property>
</Properties>
</file>