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AetherQuant 技术交底书阶段4补充说明</w:t>
      </w:r>
    </w:p>
    <w:p>
      <w:r>
        <w:rPr>
          <w:b w:val="0"/>
        </w:rPr>
      </w:r>
    </w:p>
    <w:p>
      <w:r>
        <w:rPr>
          <w:b/>
        </w:rPr>
        <w:t>一、补充目的</w:t>
      </w:r>
    </w:p>
    <w:p>
      <w:r>
        <w:rPr>
          <w:b w:val="0"/>
        </w:rPr>
        <w:t>本补充说明用于在原《AetherQuant 技术专利交底书》基础上，进一步补充当前系统在阶段4架构升级后新增的统一快照、运行中心、统一任务编排与审计日志、市场状态机以及桌面/网页双端一致性等技术方案。</w:t>
      </w:r>
    </w:p>
    <w:p>
      <w:r>
        <w:rPr>
          <w:b w:val="0"/>
        </w:rPr>
      </w:r>
    </w:p>
    <w:p>
      <w:r>
        <w:rPr>
          <w:b/>
        </w:rPr>
        <w:t>二、补充技术方案</w:t>
      </w:r>
    </w:p>
    <w:p>
      <w:r>
        <w:rPr>
          <w:b/>
        </w:rPr>
        <w:t>1. 统一系统快照服务</w:t>
      </w:r>
    </w:p>
    <w:p>
      <w:r>
        <w:rPr>
          <w:b w:val="0"/>
        </w:rPr>
        <w:t>本阶段新增统一快照服务模块 snapshot_service，用于构建 system_snapshot。该快照以统一格式输出手动仓、AI四仓、风险快照、市场状态快照、最近任务运行记录和系统事件记录。各模块不再各自重复聚合核心状态，而是优先读取统一快照，实现同一时刻多端数据口径一致。</w:t>
      </w:r>
    </w:p>
    <w:p>
      <w:r>
        <w:rPr>
          <w:b/>
        </w:rPr>
        <w:t>2. 市场状态机</w:t>
      </w:r>
    </w:p>
    <w:p>
      <w:r>
        <w:rPr>
          <w:b w:val="0"/>
        </w:rPr>
        <w:t>本阶段新增 market_state 模块，对市场状态进行统一分类，包括 strong_trend、rotation、risk_off、neutral 四种状态。该状态机综合指数分布日、板块轮动、舆情负面比例以及组合 VaR95 等指标计算得出，并被 AI 决策、OpenClaw 和总览模块共享。</w:t>
      </w:r>
    </w:p>
    <w:p>
      <w:r>
        <w:rPr>
          <w:b/>
        </w:rPr>
        <w:t>3. 统一任务编排与审计日志</w:t>
      </w:r>
    </w:p>
    <w:p>
      <w:r>
        <w:rPr>
          <w:b w:val="0"/>
        </w:rPr>
        <w:t>本阶段新增 task_orchestrator 模块，提供 run_task、log_system_event、log_task_run 等接口。Daemon 定时任务、OpenClaw 九步管线、高频 UI 操作（扫描、手动买卖、学习）均已纳入统一审计链路。系统分别形成 task_run_log、system_event_log、operation_log 三类日志，从而支持后续审计、复盘和运营监控。</w:t>
      </w:r>
    </w:p>
    <w:p>
      <w:r>
        <w:rPr>
          <w:b/>
        </w:rPr>
        <w:t>4. 顶级运行中心</w:t>
      </w:r>
    </w:p>
    <w:p>
      <w:r>
        <w:rPr>
          <w:b w:val="0"/>
        </w:rPr>
        <w:t>本阶段在桌面端增加“运行中心”顶级模块，用于集中展示系统快照、最近任务运行、最近系统事件。OpenClaw 也同步嵌入运行中心子页。该设计使系统从单纯的交易工具提升为可观测、可追踪、可运营的业务平台。</w:t>
      </w:r>
    </w:p>
    <w:p>
      <w:r>
        <w:rPr>
          <w:b/>
        </w:rPr>
        <w:t>5. Web 运营入口增强</w:t>
      </w:r>
    </w:p>
    <w:p>
      <w:r>
        <w:rPr>
          <w:b w:val="0"/>
        </w:rPr>
        <w:t>本阶段在 Streamlit Web 版中补充了快照读取、运行中心展示、OpenClaw 全流程与学习结果展示，使 Web 端不再只是静态查看入口，而具备远程运营与监控能力。</w:t>
      </w:r>
    </w:p>
    <w:p>
      <w:r>
        <w:rPr>
          <w:b w:val="0"/>
        </w:rPr>
      </w:r>
    </w:p>
    <w:p>
      <w:r>
        <w:rPr>
          <w:b/>
        </w:rPr>
        <w:t>三、补充有益效果</w:t>
      </w:r>
    </w:p>
    <w:p>
      <w:r>
        <w:rPr>
          <w:b w:val="0"/>
        </w:rPr>
        <w:t>1. 通过 system_snapshot 的统一输出，解决桌面端、Web 端、OpenClaw、Daemon 之间指标口径不一致的问题。</w:t>
      </w:r>
    </w:p>
    <w:p>
      <w:r>
        <w:rPr>
          <w:b w:val="0"/>
        </w:rPr>
        <w:t>2. 通过 market_state 统一状态机，使多策略系统、AI 决策和风控模块都围绕同一市场语义进行协同，提高一致性和可解释性。</w:t>
      </w:r>
    </w:p>
    <w:p>
      <w:r>
        <w:rPr>
          <w:b w:val="0"/>
        </w:rPr>
        <w:t>3. 通过统一编排与审计日志，使所有关键任务与关键业务操作可追溯、可复盘、可监控，降低系统运营风险。</w:t>
      </w:r>
    </w:p>
    <w:p>
      <w:r>
        <w:rPr>
          <w:b w:val="0"/>
        </w:rPr>
        <w:t>4. 通过运行中心，实现从“功能模块视角”向“系统运营视角”的升级，更适合长期维护、多人协作和远程访问。</w:t>
      </w:r>
    </w:p>
    <w:p>
      <w:r>
        <w:rPr>
          <w:b w:val="0"/>
        </w:rPr>
      </w:r>
    </w:p>
    <w:p>
      <w:r>
        <w:rPr>
          <w:b/>
        </w:rPr>
        <w:t>四、与原技术交底书的关系</w:t>
      </w:r>
    </w:p>
    <w:p>
      <w:r>
        <w:rPr>
          <w:b w:val="0"/>
        </w:rPr>
        <w:t>本补充说明所述内容，不改变原技术交底书中的核心创新点，而是对原发明技术方案中“统一数据流、统一任务流、统一状态管理、跨端共享”的实现方式做进一步细化和补充，属于原发明保护范围的深化阐述。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