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黑体" w:hAnsi="黑体" w:eastAsia="黑体"/>
          <w:b/>
          <w:sz w:val="44"/>
        </w:rPr>
        <w:t>量子计算工业软件工程技术研发中心</w:t>
      </w:r>
    </w:p>
    <w:p>
      <w:pPr>
        <w:spacing w:before="560"/>
        <w:jc w:val="center"/>
      </w:pPr>
      <w:r>
        <w:rPr>
          <w:rFonts w:ascii="黑体" w:hAnsi="黑体" w:eastAsia="黑体"/>
          <w:b/>
          <w:sz w:val="40"/>
        </w:rPr>
        <w:t>第一模块：量智大脑（QuantaMind）</w:t>
      </w:r>
    </w:p>
    <w:p>
      <w:pPr>
        <w:spacing w:before="360"/>
        <w:jc w:val="center"/>
      </w:pPr>
      <w:r>
        <w:rPr>
          <w:rFonts w:ascii="宋体" w:hAnsi="宋体" w:eastAsia="宋体"/>
          <w:sz w:val="32"/>
        </w:rPr>
        <w:t>QuantaMind（量智大脑）</w:t>
      </w:r>
    </w:p>
    <w:tbl>
      <w:tblPr>
        <w:tblStyle w:val="TableGrid"/>
        <w:tblW w:type="auto" w:w="0"/>
        <w:tblLook w:firstColumn="1" w:firstRow="1" w:lastColumn="0" w:lastRow="0" w:noHBand="0" w:noVBand="1" w:val="04A0"/>
      </w:tblPr>
      <w:tblGrid>
        <w:gridCol w:w="4323"/>
        <w:gridCol w:w="4323"/>
      </w:tblGrid>
      <w:tr>
        <w:tc>
          <w:tcPr>
            <w:tcW w:type="dxa" w:w="4323"/>
          </w:tcPr>
          <w:p>
            <w:pPr>
              <w:ind w:firstLine="0"/>
              <w:jc w:val="center"/>
            </w:pPr>
            <w:r>
              <w:rPr>
                <w:rFonts w:ascii="宋体" w:hAnsi="宋体" w:eastAsia="宋体"/>
                <w:b/>
                <w:sz w:val="24"/>
              </w:rPr>
              <w:t>对应中心</w:t>
            </w:r>
          </w:p>
        </w:tc>
        <w:tc>
          <w:tcPr>
            <w:tcW w:type="dxa" w:w="4323"/>
          </w:tcPr>
          <w:p>
            <w:pPr>
              <w:ind w:firstLine="0"/>
              <w:jc w:val="left"/>
            </w:pPr>
            <w:r>
              <w:rPr>
                <w:rFonts w:ascii="宋体" w:hAnsi="宋体" w:eastAsia="宋体"/>
                <w:sz w:val="24"/>
              </w:rPr>
              <w:t>量子计算工业软件工程技术研发中心</w:t>
            </w:r>
          </w:p>
        </w:tc>
      </w:tr>
      <w:tr>
        <w:tc>
          <w:tcPr>
            <w:tcW w:type="dxa" w:w="4323"/>
          </w:tcPr>
          <w:p>
            <w:pPr>
              <w:ind w:firstLine="0"/>
              <w:jc w:val="center"/>
            </w:pPr>
            <w:r>
              <w:rPr>
                <w:rFonts w:ascii="宋体" w:hAnsi="宋体" w:eastAsia="宋体"/>
                <w:b/>
                <w:sz w:val="24"/>
              </w:rPr>
              <w:t>模块名称</w:t>
            </w:r>
          </w:p>
        </w:tc>
        <w:tc>
          <w:tcPr>
            <w:tcW w:type="dxa" w:w="4323"/>
          </w:tcPr>
          <w:p>
            <w:pPr>
              <w:ind w:firstLine="0"/>
              <w:jc w:val="left"/>
            </w:pPr>
            <w:r>
              <w:rPr>
                <w:rFonts w:ascii="宋体" w:hAnsi="宋体" w:eastAsia="宋体"/>
                <w:sz w:val="24"/>
              </w:rPr>
              <w:t>第一模块：量智大脑（QuantaMind）</w:t>
            </w:r>
          </w:p>
        </w:tc>
      </w:tr>
      <w:tr>
        <w:tc>
          <w:tcPr>
            <w:tcW w:type="dxa" w:w="4323"/>
          </w:tcPr>
          <w:p>
            <w:pPr>
              <w:ind w:firstLine="0"/>
              <w:jc w:val="center"/>
            </w:pPr>
            <w:r>
              <w:rPr>
                <w:rFonts w:ascii="宋体" w:hAnsi="宋体" w:eastAsia="宋体"/>
                <w:b/>
                <w:sz w:val="24"/>
              </w:rPr>
              <w:t>版本</w:t>
            </w:r>
          </w:p>
        </w:tc>
        <w:tc>
          <w:tcPr>
            <w:tcW w:type="dxa" w:w="4323"/>
          </w:tcPr>
          <w:p>
            <w:pPr>
              <w:ind w:firstLine="0"/>
              <w:jc w:val="left"/>
            </w:pPr>
            <w:r>
              <w:rPr>
                <w:rFonts w:ascii="宋体" w:hAnsi="宋体" w:eastAsia="宋体"/>
                <w:sz w:val="24"/>
              </w:rPr>
              <w:t>V2.0</w:t>
            </w:r>
          </w:p>
        </w:tc>
      </w:tr>
      <w:tr>
        <w:tc>
          <w:tcPr>
            <w:tcW w:type="dxa" w:w="4323"/>
          </w:tcPr>
          <w:p>
            <w:pPr>
              <w:ind w:firstLine="0"/>
              <w:jc w:val="center"/>
            </w:pPr>
            <w:r>
              <w:rPr>
                <w:rFonts w:ascii="宋体" w:hAnsi="宋体" w:eastAsia="宋体"/>
                <w:b/>
                <w:sz w:val="24"/>
              </w:rPr>
              <w:t>日期</w:t>
            </w:r>
          </w:p>
        </w:tc>
        <w:tc>
          <w:tcPr>
            <w:tcW w:type="dxa" w:w="4323"/>
          </w:tcPr>
          <w:p>
            <w:pPr>
              <w:ind w:firstLine="0"/>
              <w:jc w:val="left"/>
            </w:pPr>
            <w:r>
              <w:rPr>
                <w:rFonts w:ascii="宋体" w:hAnsi="宋体" w:eastAsia="宋体"/>
                <w:sz w:val="24"/>
              </w:rPr>
              <w:t>2026年4月</w:t>
            </w:r>
          </w:p>
        </w:tc>
      </w:tr>
    </w:tbl>
    <w:p>
      <w:pPr>
        <w:spacing w:before="400"/>
        <w:jc w:val="center"/>
      </w:pPr>
      <w:r>
        <w:rPr>
          <w:rFonts w:ascii="宋体" w:hAnsi="宋体" w:eastAsia="宋体"/>
          <w:sz w:val="28"/>
        </w:rPr>
        <w:t>文档属性：申报材料正式稿</w:t>
      </w:r>
    </w:p>
    <w:p>
      <w:r>
        <w:br w:type="page"/>
      </w:r>
    </w:p>
    <w:p>
      <w:pPr>
        <w:pStyle w:val="Title"/>
        <w:spacing w:before="240"/>
        <w:jc w:val="center"/>
      </w:pPr>
      <w:r>
        <w:t>目录</w:t>
      </w:r>
    </w:p>
    <w:p>
      <w:r>
        <w:fldChar w:fldCharType="begin"/>
        <w:instrText xml:space="preserve">TOC \o "1-3" \h \z \u</w:instrText>
        <w:fldChar w:fldCharType="separate"/>
        <w:t>1</w:t>
        <w:fldChar w:fldCharType="end"/>
      </w:r>
    </w:p>
    <w:p>
      <w:pPr>
        <w:ind w:firstLine="0"/>
        <w:jc w:val="left"/>
      </w:pPr>
      <w:r>
        <w:rPr>
          <w:rFonts w:ascii="宋体" w:hAnsi="宋体" w:eastAsia="宋体"/>
          <w:sz w:val="21"/>
        </w:rPr>
        <w:t>提示：若目录未自动刷新，可在 Word 中右键目录选择“更新域”。</w:t>
      </w:r>
    </w:p>
    <w:p>
      <w:r>
        <w:br w:type="page"/>
      </w:r>
    </w:p>
    <w:p>
      <w:pPr>
        <w:pStyle w:val="Title"/>
        <w:spacing w:before="0" w:after="240"/>
        <w:jc w:val="center"/>
      </w:pPr>
      <w:r>
        <w:t>第一模块：量智大脑（QuantaMind）</w:t>
      </w:r>
    </w:p>
    <w:p>
      <w:pPr>
        <w:pStyle w:val="Heading1"/>
      </w:pPr>
      <w:r>
        <w:t>中心一句话总述（与三模块并列时的总目标表述）</w:t>
      </w:r>
    </w:p>
    <w:p>
      <w:r>
        <w:rPr>
          <w:b/>
        </w:rPr>
        <w:t>量子计算工业软件工程技术研发中心</w:t>
      </w:r>
      <w:r>
        <w:t>主要面向量子计算工程化与产业化全链路，构建自主可控、体系完备、开放协同的工业软件底座；其中</w:t>
      </w:r>
      <w:r>
        <w:rPr>
          <w:b/>
        </w:rPr>
        <w:t>第一模块“量智大脑”</w:t>
      </w:r>
      <w:r>
        <w:t>定位为整个研发中心的</w:t>
      </w:r>
      <w:r>
        <w:rPr>
          <w:b/>
        </w:rPr>
        <w:t>智能内核、统一入口与能力中枢</w:t>
      </w:r>
      <w:r>
        <w:t>，围绕“自主科研 AI 系统”建设目标，形成</w:t>
      </w:r>
      <w:r>
        <w:rPr>
          <w:b/>
        </w:rPr>
        <w:t>量子科学垂直大模型、智能体路由、多智能体协同、知识图谱与数据中台、工具编排引擎、自主科研闭环</w:t>
      </w:r>
      <w:r>
        <w:t>六位一体能力体系，为设计、仿真、制造、测控、云平台与行业应用提供持续演进的 AI 赋能能力。</w:t>
      </w:r>
    </w:p>
    <w:p>
      <w:pPr>
        <w:pStyle w:val="Heading1"/>
      </w:pPr>
      <w:r>
        <w:t>一、建设必要性与平台定位</w:t>
      </w:r>
    </w:p>
    <w:p>
      <w:pPr>
        <w:pStyle w:val="Heading2"/>
      </w:pPr>
      <w:r>
        <w:t>（一）行业发展现状与战略必要性</w:t>
      </w:r>
    </w:p>
    <w:p>
      <w:r>
        <w:t>当前，量子信息与人工智能正在从“并行发展”加速走向“深度耦合”。国际上，AI for Science、AI for Quantum、Quantum for AI 已成为主要科技强国和头部企业布局的前沿方向。量子计算研发活动也正在由传统的串行人工研发模式，演进为以数据驱动、模型驱动、智能体驱动为特征的新范式。</w:t>
      </w:r>
    </w:p>
    <w:p>
      <w:r>
        <w:t>从全球趋势看，量子领域正在出现三类重大变化：</w:t>
      </w:r>
    </w:p>
    <w:p>
      <w:pPr>
        <w:pStyle w:val="ListNumber"/>
      </w:pPr>
      <w:r>
        <w:rPr>
          <w:b/>
        </w:rPr>
        <w:t>AI 正在全面渗透量子研发链条。</w:t>
      </w:r>
      <w:r>
        <w:t xml:space="preserve"> 从材料发现、器件设计、版图优化、工艺调参、自动化校准到量子纠错，AI 已不再是单点工具，而是开始承担跨流程的协同优化角色。</w:t>
      </w:r>
    </w:p>
    <w:p>
      <w:pPr>
        <w:pStyle w:val="ListNumber"/>
      </w:pPr>
      <w:r>
        <w:rPr>
          <w:b/>
        </w:rPr>
        <w:t>异构算力与软件中台成为主流架构。</w:t>
      </w:r>
      <w:r>
        <w:t xml:space="preserve"> 未来量子计算不再是单一 QPU 的问题，而是 CPU、GPU、QPU 以及实验设备、工业系统共同参与的复杂系统工程，需要统一的编排与智能中枢。</w:t>
      </w:r>
    </w:p>
    <w:p>
      <w:pPr>
        <w:pStyle w:val="ListNumber"/>
      </w:pPr>
      <w:r>
        <w:rPr>
          <w:b/>
        </w:rPr>
        <w:t>自主科研 AI 系统开始成为新一代科研基础设施。</w:t>
      </w:r>
      <w:r>
        <w:t xml:space="preserve"> 国际前沿已出现 AI Co-Scientist、AI Scientist 等范式探索，表明 AI 正从“辅助工具”向“科研伙伴”甚至“自主研究主体”演进。</w:t>
      </w:r>
    </w:p>
    <w:p>
      <w:r>
        <w:t>与此相对应，我国在量子计算工程化和产业化进程中仍面临以下突出问题：</w:t>
      </w:r>
    </w:p>
    <w:p>
      <w:pPr>
        <w:pStyle w:val="ListNumber"/>
      </w:pPr>
      <w:r>
        <w:rPr>
          <w:b/>
        </w:rPr>
        <w:t>核心软件体系尚不完整。</w:t>
      </w:r>
      <w:r>
        <w:t xml:space="preserve"> 量子计算软件、Q-EDA 工具、自动化测控软件、工艺优化平台、知识管理平台等仍缺乏统一智能底座，软件链条碎片化问题突出。</w:t>
      </w:r>
    </w:p>
    <w:p>
      <w:pPr>
        <w:pStyle w:val="ListNumber"/>
      </w:pPr>
      <w:r>
        <w:rPr>
          <w:b/>
        </w:rPr>
        <w:t>研发数据难以形成闭环资产。</w:t>
      </w:r>
      <w:r>
        <w:t xml:space="preserve"> 设计数据、仿真数据、制造数据、设备数据、测试数据、文献数据长期分散，难以支撑面向全生命周期的学习、优化和决策。</w:t>
      </w:r>
    </w:p>
    <w:p>
      <w:pPr>
        <w:pStyle w:val="ListNumber"/>
      </w:pPr>
      <w:r>
        <w:rPr>
          <w:b/>
        </w:rPr>
        <w:t>模型能力与专业工具之间存在断层。</w:t>
      </w:r>
      <w:r>
        <w:t xml:space="preserve"> 通用大模型难以直接理解量子工程任务，也难以安全调用专业软件与工业系统，导致大模型停留在“问答层”，无法进入“执行层”。</w:t>
      </w:r>
    </w:p>
    <w:p>
      <w:pPr>
        <w:pStyle w:val="ListNumber"/>
      </w:pPr>
      <w:r>
        <w:rPr>
          <w:b/>
        </w:rPr>
        <w:t>缺乏支撑跨平台协同的智能中台。</w:t>
      </w:r>
      <w:r>
        <w:t xml:space="preserve"> 在设计、制造、测控、应用等多环节之间，尚未形成统一入口、统一调度、统一知识底座和统一智能体机制，制约工程化放大与产业化复制。</w:t>
      </w:r>
    </w:p>
    <w:p>
      <w:pPr>
        <w:pStyle w:val="ListNumber"/>
      </w:pPr>
      <w:r>
        <w:rPr>
          <w:b/>
        </w:rPr>
        <w:t>科研组织方式仍偏传统。</w:t>
      </w:r>
      <w:r>
        <w:t xml:space="preserve"> 当前多数研发流程仍依赖专家经验和人工串行协作，尚未形成“AI 参与假设生成、方案设计、工具调用、结果分析、知识沉淀”的自主科研新模式。</w:t>
      </w:r>
    </w:p>
    <w:p>
      <w:r>
        <w:t>因此，建设“量智大脑”不是单纯开发一个对话系统，而是建设面向量子科技全生命周期的</w:t>
      </w:r>
      <w:r>
        <w:rPr>
          <w:b/>
        </w:rPr>
        <w:t>自主科研 AI 中台</w:t>
      </w:r>
      <w:r>
        <w:t>。它的战略价值在于：通过构建统一的 AI 能力层和数据-知识-工具闭环，突破我国在量子工业软件体系中的关键短板，推动量子科技研发从“经验驱动、流程割裂”走向“智能驱动、全链协同、持续进化”。</w:t>
      </w:r>
    </w:p>
    <w:p>
      <w:pPr>
        <w:pStyle w:val="Heading2"/>
      </w:pPr>
      <w:r>
        <w:t>（二）平台定位</w:t>
      </w:r>
    </w:p>
    <w:p>
      <w:r>
        <w:rPr>
          <w:b/>
        </w:rPr>
        <w:t>量智大脑</w:t>
      </w:r>
      <w:r>
        <w:t>定位为量子计算工业软件工程技术研发中心的</w:t>
      </w:r>
      <w:r>
        <w:rPr>
          <w:b/>
        </w:rPr>
        <w:t>智能心脏、操作系统和统一能力总线</w:t>
      </w:r>
      <w:r>
        <w:t>，是“1 个智能中台 + N 类专业平台”架构中的核心底座。</w:t>
      </w:r>
    </w:p>
    <w:p>
      <w:r>
        <w:t>其定位可概括为四个层次：</w:t>
      </w:r>
    </w:p>
    <w:p>
      <w:pPr>
        <w:pStyle w:val="ListNumber"/>
      </w:pPr>
      <w:r>
        <w:rPr>
          <w:b/>
        </w:rPr>
        <w:t>统一入口层。</w:t>
      </w:r>
      <w:r>
        <w:t xml:space="preserve"> 面向科研人员、工程师、管理者和外部生态伙伴，提供桌面端、Web 端、CLI 端等统一入口，屏蔽底层复杂性。</w:t>
      </w:r>
    </w:p>
    <w:p>
      <w:pPr>
        <w:pStyle w:val="ListNumber"/>
      </w:pPr>
      <w:r>
        <w:rPr>
          <w:b/>
        </w:rPr>
        <w:t>统一中枢层。</w:t>
      </w:r>
      <w:r>
        <w:t xml:space="preserve"> 通过 Gateway、Brain、Orchestrator、Hands、Memory、Heartbeat、Skills 等模块，统一完成会话管理、模型调度、工具调用、知识回注与后台自主运行。</w:t>
      </w:r>
    </w:p>
    <w:p>
      <w:pPr>
        <w:pStyle w:val="ListNumber"/>
      </w:pPr>
      <w:r>
        <w:rPr>
          <w:b/>
        </w:rPr>
        <w:t>统一赋能层。</w:t>
      </w:r>
      <w:r>
        <w:t xml:space="preserve"> 为设计、仿真、制造、测控、知识工程、数据分析、项目管理等领域平台提供可复用的智能体和 API 能力。</w:t>
      </w:r>
    </w:p>
    <w:p>
      <w:pPr>
        <w:pStyle w:val="ListNumber"/>
      </w:pPr>
      <w:r>
        <w:rPr>
          <w:b/>
        </w:rPr>
        <w:t>自主科研引擎层。</w:t>
      </w:r>
      <w:r>
        <w:t xml:space="preserve"> 以量子科学垂直模型、知识图谱、实验数据、外部情报和多智能体协作为基础，逐步实现从 AI 辅助决策向 AI 自主发现的能力跃迁。</w:t>
      </w:r>
    </w:p>
    <w:p>
      <w:r>
        <w:rPr>
          <w:b/>
        </w:rPr>
        <w:t>平台核心使命</w:t>
      </w:r>
      <w:r>
        <w:t>是：</w:t>
      </w:r>
    </w:p>
    <w:p>
      <w:pPr>
        <w:pStyle w:val="ListBullet"/>
      </w:pPr>
      <w:r>
        <w:t>建设面向量子科技的专用 AI 能力体系，而非泛化通用助手。</w:t>
      </w:r>
    </w:p>
    <w:p>
      <w:pPr>
        <w:pStyle w:val="ListBullet"/>
      </w:pPr>
      <w:r>
        <w:t>建设面向全生命周期的工具编排体系，而非单点聊天能力。</w:t>
      </w:r>
    </w:p>
    <w:p>
      <w:pPr>
        <w:pStyle w:val="ListBullet"/>
      </w:pPr>
      <w:r>
        <w:t>建设面向科研资产沉淀的知识与数据底座，而非孤立的信息检索服务。</w:t>
      </w:r>
    </w:p>
    <w:p>
      <w:pPr>
        <w:pStyle w:val="ListBullet"/>
      </w:pPr>
      <w:r>
        <w:t>建设面向未来自主科研的演进框架，而非一次性项目交付。</w:t>
      </w:r>
    </w:p>
    <w:p>
      <w:pPr>
        <w:pStyle w:val="Heading2"/>
      </w:pPr>
      <w:r>
        <w:t>（三）现有基础与建设提升方向</w:t>
      </w:r>
    </w:p>
    <w:p>
      <w:r>
        <w:t>量智大脑当前项目已经完成了原型级基础能力搭建，具备向平台化建设演进的现实基础。</w:t>
      </w:r>
    </w:p>
    <w:tbl>
      <w:tblPr>
        <w:tblStyle w:val="TableGrid"/>
        <w:tblW w:type="auto" w:w="0"/>
        <w:tblLook w:firstColumn="1" w:firstRow="1" w:lastColumn="0" w:lastRow="0" w:noHBand="0" w:noVBand="1" w:val="04A0"/>
      </w:tblPr>
      <w:tblGrid>
        <w:gridCol w:w="2882"/>
        <w:gridCol w:w="2882"/>
        <w:gridCol w:w="2882"/>
      </w:tblGrid>
      <w:tr>
        <w:tc>
          <w:tcPr>
            <w:tcW w:type="dxa" w:w="2882"/>
          </w:tcPr>
          <w:p>
            <w:pPr>
              <w:spacing w:line="300" w:lineRule="auto"/>
              <w:ind w:firstLine="0"/>
            </w:pPr>
            <w:r>
              <w:rPr>
                <w:rFonts w:ascii="宋体" w:hAnsi="宋体" w:eastAsia="宋体"/>
                <w:b/>
                <w:sz w:val="21"/>
              </w:rPr>
              <w:t>现有基础</w:t>
            </w:r>
          </w:p>
        </w:tc>
        <w:tc>
          <w:tcPr>
            <w:tcW w:type="dxa" w:w="2882"/>
          </w:tcPr>
          <w:p>
            <w:pPr>
              <w:spacing w:line="300" w:lineRule="auto"/>
              <w:ind w:firstLine="0"/>
            </w:pPr>
            <w:r>
              <w:rPr>
                <w:rFonts w:ascii="宋体" w:hAnsi="宋体" w:eastAsia="宋体"/>
                <w:sz w:val="21"/>
              </w:rPr>
              <w:t>当前状态</w:t>
            </w:r>
          </w:p>
        </w:tc>
        <w:tc>
          <w:tcPr>
            <w:tcW w:type="dxa" w:w="2882"/>
          </w:tcPr>
          <w:p>
            <w:pPr>
              <w:spacing w:line="300" w:lineRule="auto"/>
              <w:ind w:firstLine="0"/>
            </w:pPr>
            <w:r>
              <w:rPr>
                <w:rFonts w:ascii="宋体" w:hAnsi="宋体" w:eastAsia="宋体"/>
                <w:sz w:val="21"/>
              </w:rPr>
              <w:t>建设提升方向</w:t>
            </w:r>
          </w:p>
        </w:tc>
      </w:tr>
      <w:tr>
        <w:tc>
          <w:tcPr>
            <w:tcW w:type="dxa" w:w="2882"/>
          </w:tcPr>
          <w:p>
            <w:pPr>
              <w:spacing w:line="300" w:lineRule="auto"/>
              <w:ind w:firstLine="0"/>
            </w:pPr>
            <w:r>
              <w:rPr>
                <w:rFonts w:ascii="宋体" w:hAnsi="宋体" w:eastAsia="宋体"/>
                <w:sz w:val="21"/>
              </w:rPr>
              <w:t>网关与客户端</w:t>
            </w:r>
          </w:p>
        </w:tc>
        <w:tc>
          <w:tcPr>
            <w:tcW w:type="dxa" w:w="2882"/>
          </w:tcPr>
          <w:p>
            <w:pPr>
              <w:spacing w:line="300" w:lineRule="auto"/>
              <w:ind w:firstLine="0"/>
            </w:pPr>
            <w:r>
              <w:rPr>
                <w:rFonts w:ascii="宋体" w:hAnsi="宋体" w:eastAsia="宋体"/>
                <w:sz w:val="21"/>
              </w:rPr>
              <w:t>已具备 FastAPI、WebSocket、CLI/Web/桌面入口基础</w:t>
            </w:r>
          </w:p>
        </w:tc>
        <w:tc>
          <w:tcPr>
            <w:tcW w:type="dxa" w:w="2882"/>
          </w:tcPr>
          <w:p>
            <w:pPr>
              <w:spacing w:line="300" w:lineRule="auto"/>
              <w:ind w:firstLine="0"/>
            </w:pPr>
            <w:r>
              <w:rPr>
                <w:rFonts w:ascii="宋体" w:hAnsi="宋体" w:eastAsia="宋体"/>
                <w:sz w:val="21"/>
              </w:rPr>
              <w:t>提升为统一接入、权限治理、审计留痕、可观测的正式平台入口</w:t>
            </w:r>
          </w:p>
        </w:tc>
      </w:tr>
      <w:tr>
        <w:tc>
          <w:tcPr>
            <w:tcW w:type="dxa" w:w="2882"/>
          </w:tcPr>
          <w:p>
            <w:pPr>
              <w:spacing w:line="300" w:lineRule="auto"/>
              <w:ind w:firstLine="0"/>
            </w:pPr>
            <w:r>
              <w:rPr>
                <w:rFonts w:ascii="宋体" w:hAnsi="宋体" w:eastAsia="宋体"/>
                <w:sz w:val="21"/>
              </w:rPr>
              <w:t>大模型接入</w:t>
            </w:r>
          </w:p>
        </w:tc>
        <w:tc>
          <w:tcPr>
            <w:tcW w:type="dxa" w:w="2882"/>
          </w:tcPr>
          <w:p>
            <w:pPr>
              <w:spacing w:line="300" w:lineRule="auto"/>
              <w:ind w:firstLine="0"/>
            </w:pPr>
            <w:r>
              <w:rPr>
                <w:rFonts w:ascii="宋体" w:hAnsi="宋体" w:eastAsia="宋体"/>
                <w:sz w:val="21"/>
              </w:rPr>
              <w:t>已具备本地 Ollama 等可插拔模型接入能力</w:t>
            </w:r>
          </w:p>
        </w:tc>
        <w:tc>
          <w:tcPr>
            <w:tcW w:type="dxa" w:w="2882"/>
          </w:tcPr>
          <w:p>
            <w:pPr>
              <w:spacing w:line="300" w:lineRule="auto"/>
              <w:ind w:firstLine="0"/>
            </w:pPr>
            <w:r>
              <w:rPr>
                <w:rFonts w:ascii="宋体" w:hAnsi="宋体" w:eastAsia="宋体"/>
                <w:sz w:val="21"/>
              </w:rPr>
              <w:t>升级为量子垂直模型 + 通用模型 + 专家模型的混合专家体系</w:t>
            </w:r>
          </w:p>
        </w:tc>
      </w:tr>
      <w:tr>
        <w:tc>
          <w:tcPr>
            <w:tcW w:type="dxa" w:w="2882"/>
          </w:tcPr>
          <w:p>
            <w:pPr>
              <w:spacing w:line="300" w:lineRule="auto"/>
              <w:ind w:firstLine="0"/>
            </w:pPr>
            <w:r>
              <w:rPr>
                <w:rFonts w:ascii="宋体" w:hAnsi="宋体" w:eastAsia="宋体"/>
                <w:sz w:val="21"/>
              </w:rPr>
              <w:t>智能体路由</w:t>
            </w:r>
          </w:p>
        </w:tc>
        <w:tc>
          <w:tcPr>
            <w:tcW w:type="dxa" w:w="2882"/>
          </w:tcPr>
          <w:p>
            <w:pPr>
              <w:spacing w:line="300" w:lineRule="auto"/>
              <w:ind w:firstLine="0"/>
            </w:pPr>
            <w:r>
              <w:rPr>
                <w:rFonts w:ascii="宋体" w:hAnsi="宋体" w:eastAsia="宋体"/>
                <w:sz w:val="21"/>
              </w:rPr>
              <w:t>已实现多角色 Agent 原型与关键词路由</w:t>
            </w:r>
          </w:p>
        </w:tc>
        <w:tc>
          <w:tcPr>
            <w:tcW w:type="dxa" w:w="2882"/>
          </w:tcPr>
          <w:p>
            <w:pPr>
              <w:spacing w:line="300" w:lineRule="auto"/>
              <w:ind w:firstLine="0"/>
            </w:pPr>
            <w:r>
              <w:rPr>
                <w:rFonts w:ascii="宋体" w:hAnsi="宋体" w:eastAsia="宋体"/>
                <w:sz w:val="21"/>
              </w:rPr>
              <w:t>升级为面向任务复杂度、上下文和资源状态的动态智能路由</w:t>
            </w:r>
          </w:p>
        </w:tc>
      </w:tr>
      <w:tr>
        <w:tc>
          <w:tcPr>
            <w:tcW w:type="dxa" w:w="2882"/>
          </w:tcPr>
          <w:p>
            <w:pPr>
              <w:spacing w:line="300" w:lineRule="auto"/>
              <w:ind w:firstLine="0"/>
            </w:pPr>
            <w:r>
              <w:rPr>
                <w:rFonts w:ascii="宋体" w:hAnsi="宋体" w:eastAsia="宋体"/>
                <w:sz w:val="21"/>
              </w:rPr>
              <w:t>工具执行层</w:t>
            </w:r>
          </w:p>
        </w:tc>
        <w:tc>
          <w:tcPr>
            <w:tcW w:type="dxa" w:w="2882"/>
          </w:tcPr>
          <w:p>
            <w:pPr>
              <w:spacing w:line="300" w:lineRule="auto"/>
              <w:ind w:firstLine="0"/>
            </w:pPr>
            <w:r>
              <w:rPr>
                <w:rFonts w:ascii="宋体" w:hAnsi="宋体" w:eastAsia="宋体"/>
                <w:sz w:val="21"/>
              </w:rPr>
              <w:t>已初步对接设计、仿真、MES、测控、数据、情报等工具能力</w:t>
            </w:r>
          </w:p>
        </w:tc>
        <w:tc>
          <w:tcPr>
            <w:tcW w:type="dxa" w:w="2882"/>
          </w:tcPr>
          <w:p>
            <w:pPr>
              <w:spacing w:line="300" w:lineRule="auto"/>
              <w:ind w:firstLine="0"/>
            </w:pPr>
            <w:r>
              <w:rPr>
                <w:rFonts w:ascii="宋体" w:hAnsi="宋体" w:eastAsia="宋体"/>
                <w:sz w:val="21"/>
              </w:rPr>
              <w:t>升级为统一契约、标准 API、权限控制、可编排的工业级工具总线</w:t>
            </w:r>
          </w:p>
        </w:tc>
      </w:tr>
      <w:tr>
        <w:tc>
          <w:tcPr>
            <w:tcW w:type="dxa" w:w="2882"/>
          </w:tcPr>
          <w:p>
            <w:pPr>
              <w:spacing w:line="300" w:lineRule="auto"/>
              <w:ind w:firstLine="0"/>
            </w:pPr>
            <w:r>
              <w:rPr>
                <w:rFonts w:ascii="宋体" w:hAnsi="宋体" w:eastAsia="宋体"/>
                <w:sz w:val="21"/>
              </w:rPr>
              <w:t>记忆与知识</w:t>
            </w:r>
          </w:p>
        </w:tc>
        <w:tc>
          <w:tcPr>
            <w:tcW w:type="dxa" w:w="2882"/>
          </w:tcPr>
          <w:p>
            <w:pPr>
              <w:spacing w:line="300" w:lineRule="auto"/>
              <w:ind w:firstLine="0"/>
            </w:pPr>
            <w:r>
              <w:rPr>
                <w:rFonts w:ascii="宋体" w:hAnsi="宋体" w:eastAsia="宋体"/>
                <w:sz w:val="21"/>
              </w:rPr>
              <w:t>已具备项目记忆、资料库、情报摘要等基础能力</w:t>
            </w:r>
          </w:p>
        </w:tc>
        <w:tc>
          <w:tcPr>
            <w:tcW w:type="dxa" w:w="2882"/>
          </w:tcPr>
          <w:p>
            <w:pPr>
              <w:spacing w:line="300" w:lineRule="auto"/>
              <w:ind w:firstLine="0"/>
            </w:pPr>
            <w:r>
              <w:rPr>
                <w:rFonts w:ascii="宋体" w:hAnsi="宋体" w:eastAsia="宋体"/>
                <w:sz w:val="21"/>
              </w:rPr>
              <w:t>升级为知识图谱、向量检索、全生命周期数据中台与知识治理体系</w:t>
            </w:r>
          </w:p>
        </w:tc>
      </w:tr>
      <w:tr>
        <w:tc>
          <w:tcPr>
            <w:tcW w:type="dxa" w:w="2882"/>
          </w:tcPr>
          <w:p>
            <w:pPr>
              <w:spacing w:line="300" w:lineRule="auto"/>
              <w:ind w:firstLine="0"/>
            </w:pPr>
            <w:r>
              <w:rPr>
                <w:rFonts w:ascii="宋体" w:hAnsi="宋体" w:eastAsia="宋体"/>
                <w:sz w:val="21"/>
              </w:rPr>
              <w:t>自主运行</w:t>
            </w:r>
          </w:p>
        </w:tc>
        <w:tc>
          <w:tcPr>
            <w:tcW w:type="dxa" w:w="2882"/>
          </w:tcPr>
          <w:p>
            <w:pPr>
              <w:spacing w:line="300" w:lineRule="auto"/>
              <w:ind w:firstLine="0"/>
            </w:pPr>
            <w:r>
              <w:rPr>
                <w:rFonts w:ascii="宋体" w:hAnsi="宋体" w:eastAsia="宋体"/>
                <w:sz w:val="21"/>
              </w:rPr>
              <w:t>已有 Heartbeat、定时情报等基础机制</w:t>
            </w:r>
          </w:p>
        </w:tc>
        <w:tc>
          <w:tcPr>
            <w:tcW w:type="dxa" w:w="2882"/>
          </w:tcPr>
          <w:p>
            <w:pPr>
              <w:spacing w:line="300" w:lineRule="auto"/>
              <w:ind w:firstLine="0"/>
            </w:pPr>
            <w:r>
              <w:rPr>
                <w:rFonts w:ascii="宋体" w:hAnsi="宋体" w:eastAsia="宋体"/>
                <w:sz w:val="21"/>
              </w:rPr>
              <w:t>升级为自主巡检、自主调优、自主实验建议和自主科研闭环能力</w:t>
            </w:r>
          </w:p>
        </w:tc>
      </w:tr>
    </w:tbl>
    <w:p>
      <w:r>
        <w:t>换言之，当前 QuantaMind 已经证明“量智大脑”技术路线是</w:t>
      </w:r>
      <w:r>
        <w:rPr>
          <w:b/>
        </w:rPr>
        <w:t>可行的</w:t>
      </w:r>
      <w:r>
        <w:t>；本方案的目标是在此基础上进一步完成从</w:t>
      </w:r>
      <w:r>
        <w:rPr>
          <w:b/>
        </w:rPr>
        <w:t>原型验证</w:t>
      </w:r>
      <w:r>
        <w:t>到</w:t>
      </w:r>
      <w:r>
        <w:rPr>
          <w:b/>
        </w:rPr>
        <w:t>平台建设</w:t>
      </w:r>
      <w:r>
        <w:t>、从</w:t>
      </w:r>
      <w:r>
        <w:rPr>
          <w:b/>
        </w:rPr>
        <w:t>局部可用</w:t>
      </w:r>
      <w:r>
        <w:t>到</w:t>
      </w:r>
      <w:r>
        <w:rPr>
          <w:b/>
        </w:rPr>
        <w:t>体系可用</w:t>
      </w:r>
      <w:r>
        <w:t>、从</w:t>
      </w:r>
      <w:r>
        <w:rPr>
          <w:b/>
        </w:rPr>
        <w:t>辅助问答</w:t>
      </w:r>
      <w:r>
        <w:t>到</w:t>
      </w:r>
      <w:r>
        <w:rPr>
          <w:b/>
        </w:rPr>
        <w:t>自主科研</w:t>
      </w:r>
      <w:r>
        <w:t>的升级。</w:t>
      </w:r>
    </w:p>
    <w:p>
      <w:r>
        <w:br w:type="page"/>
      </w:r>
    </w:p>
    <w:p>
      <w:pPr>
        <w:pStyle w:val="Heading1"/>
      </w:pPr>
      <w:r>
        <w:t>二、建设目标与规划</w:t>
      </w:r>
    </w:p>
    <w:p>
      <w:pPr>
        <w:pStyle w:val="Heading2"/>
      </w:pPr>
      <w:r>
        <w:t>（一）总体建设目标</w:t>
      </w:r>
    </w:p>
    <w:p>
      <w:r>
        <w:t>面向 2026-2030 年建设期，量智大脑总体目标是：建成国内领先、国际有影响力的量子科技自主科研人工智能中台，形成支撑量子计算“设计-仿真-制造-测控-应用”全生命周期的智能化能力体系，成为量子计算工业软件工程技术研发中心的统一智能底座。</w:t>
      </w:r>
    </w:p>
    <w:p>
      <w:r>
        <w:t>总体目标具体体现在六个方面：</w:t>
      </w:r>
    </w:p>
    <w:p>
      <w:pPr>
        <w:pStyle w:val="ListNumber"/>
      </w:pPr>
      <w:r>
        <w:rPr>
          <w:b/>
        </w:rPr>
        <w:t>建成统一智能底座。</w:t>
      </w:r>
      <w:r>
        <w:t xml:space="preserve"> 完成面向量子科技的 Gateway、模型中枢、智能体路由、工具编排、知识图谱、项目记忆、自主心跳等核心基础设施建设。</w:t>
      </w:r>
    </w:p>
    <w:p>
      <w:pPr>
        <w:pStyle w:val="ListNumber"/>
      </w:pPr>
      <w:r>
        <w:rPr>
          <w:b/>
        </w:rPr>
        <w:t>建成量子科学专用 AI 能力体系。</w:t>
      </w:r>
      <w:r>
        <w:t xml:space="preserve"> 构建量子物理、芯片设计、工艺制造、测控校准、数据分析、知识工程等领域的智能体矩阵。</w:t>
      </w:r>
    </w:p>
    <w:p>
      <w:pPr>
        <w:pStyle w:val="ListNumber"/>
      </w:pPr>
      <w:r>
        <w:rPr>
          <w:b/>
        </w:rPr>
        <w:t>建成工具与数据双闭环。</w:t>
      </w:r>
      <w:r>
        <w:t xml:space="preserve"> 实现设计、仿真、制造、测控、MES、SECS/GEM、数据仓库、云平台等系统的统一接入、统一治理和统一调用。</w:t>
      </w:r>
    </w:p>
    <w:p>
      <w:pPr>
        <w:pStyle w:val="ListNumber"/>
      </w:pPr>
      <w:r>
        <w:rPr>
          <w:b/>
        </w:rPr>
        <w:t>建成知识驱动平台。</w:t>
      </w:r>
      <w:r>
        <w:t xml:space="preserve"> 形成覆盖文献、专利、实验日志、设计文档、制造记录、测试结果的动态知识图谱与数据资产湖。</w:t>
      </w:r>
    </w:p>
    <w:p>
      <w:pPr>
        <w:pStyle w:val="ListNumber"/>
      </w:pPr>
      <w:r>
        <w:rPr>
          <w:b/>
        </w:rPr>
        <w:t>建成自主科研原型能力。</w:t>
      </w:r>
      <w:r>
        <w:t xml:space="preserve"> 在部分典型任务上实现 AI 自主提出假设、分解任务、调用工具、分析结果和生成建议的闭环验证。</w:t>
      </w:r>
    </w:p>
    <w:p>
      <w:pPr>
        <w:pStyle w:val="ListNumber"/>
      </w:pPr>
      <w:r>
        <w:rPr>
          <w:b/>
        </w:rPr>
        <w:t>形成平台化输出能力。</w:t>
      </w:r>
      <w:r>
        <w:t xml:space="preserve"> 通过标准 API、智能体服务和可复制方案包，为中心其他平台以及合作单位提供持续赋能。</w:t>
      </w:r>
    </w:p>
    <w:p>
      <w:pPr>
        <w:pStyle w:val="Heading2"/>
      </w:pPr>
      <w:r>
        <w:t>（二）分阶段规划（三年、五年、十年）</w:t>
      </w:r>
    </w:p>
    <w:p>
      <w:pPr>
        <w:pStyle w:val="Heading3"/>
      </w:pPr>
      <w:r>
        <w:t>1. 三年目标：从原型验证到平台成型</w:t>
      </w:r>
    </w:p>
    <w:p>
      <w:r>
        <w:t>三年内重点完成“从 0 到 1”的能力构建，形成可运行、可集成、可验证的量智大脑平台基座。</w:t>
      </w:r>
    </w:p>
    <w:p>
      <w:r>
        <w:t>重点目标包括：</w:t>
      </w:r>
    </w:p>
    <w:p>
      <w:pPr>
        <w:pStyle w:val="ListBullet"/>
      </w:pPr>
      <w:r>
        <w:t>建成量智大脑 V1.0，总体架构稳定运行，支持桌面端、Web 端和 API 统一接入。</w:t>
      </w:r>
    </w:p>
    <w:p>
      <w:pPr>
        <w:pStyle w:val="ListBullet"/>
      </w:pPr>
      <w:r>
        <w:t>建成量子科技知识图谱 V1.0 和项目级记忆体系，初步实现文献、项目、实验、工具结果的统一沉淀。</w:t>
      </w:r>
    </w:p>
    <w:p>
      <w:pPr>
        <w:pStyle w:val="ListBullet"/>
      </w:pPr>
      <w:r>
        <w:t>发布首批核心智能体，包括 AI 芯片设计师、AI 理论物理学家、AI 工艺工程师、AI 设备运维员、AI 数据分析师、AI 情报员。</w:t>
      </w:r>
    </w:p>
    <w:p>
      <w:pPr>
        <w:pStyle w:val="ListBullet"/>
      </w:pPr>
      <w:r>
        <w:t>完成与设计、仿真、测控、MES、数据平台等优先工具集的对接验证，形成不少于 3 个端到端示范场景。</w:t>
      </w:r>
    </w:p>
    <w:p>
      <w:pPr>
        <w:pStyle w:val="ListBullet"/>
      </w:pPr>
      <w:r>
        <w:t>在量子材料筛选、版图优化、工艺参数推荐、自动情报摘要等方向完成自主科研概念验证。</w:t>
      </w:r>
    </w:p>
    <w:p>
      <w:pPr>
        <w:pStyle w:val="Heading3"/>
      </w:pPr>
      <w:r>
        <w:t>2. 五年目标：从平台成型到体系协同</w:t>
      </w:r>
    </w:p>
    <w:p>
      <w:r>
        <w:t>五年内重点完成“从 1 到 N”的体系化融合，形成对研发中心多平台的深度赋能能力。</w:t>
      </w:r>
    </w:p>
    <w:p>
      <w:r>
        <w:t>重点目标包括：</w:t>
      </w:r>
    </w:p>
    <w:p>
      <w:pPr>
        <w:pStyle w:val="ListBullet"/>
      </w:pPr>
      <w:r>
        <w:t>建成量智大脑 V2.0，形成混合专家模型路由和跨平台智能体协同体系。</w:t>
      </w:r>
    </w:p>
    <w:p>
      <w:pPr>
        <w:pStyle w:val="ListBullet"/>
      </w:pPr>
      <w:r>
        <w:t>AI 赋能覆盖中心重点研发制造流程的 50% 以上，支撑设计、制造、测控和应用平台高效协同。</w:t>
      </w:r>
    </w:p>
    <w:p>
      <w:pPr>
        <w:pStyle w:val="ListBullet"/>
      </w:pPr>
      <w:r>
        <w:t>形成面向 Q-EDA、数字化制造、量子测控、数据治理、云服务的标准 API 与智能体服务接口。</w:t>
      </w:r>
    </w:p>
    <w:p>
      <w:pPr>
        <w:pStyle w:val="ListBullet"/>
      </w:pPr>
      <w:r>
        <w:t>实现 3-5 类关键核心软件或关键环节的国产化替代赋能。</w:t>
      </w:r>
    </w:p>
    <w:p>
      <w:pPr>
        <w:pStyle w:val="ListBullet"/>
      </w:pPr>
      <w:r>
        <w:t>推动 AI 参与逻辑比特设计验证、自动化校准和复杂工艺调优，形成具有示范意义的联合场景成果。</w:t>
      </w:r>
    </w:p>
    <w:p>
      <w:pPr>
        <w:pStyle w:val="Heading3"/>
      </w:pPr>
      <w:r>
        <w:t>3. 十年目标：从体系协同到生态引领</w:t>
      </w:r>
    </w:p>
    <w:p>
      <w:r>
        <w:t>十年内重点实现“从 N 到生态引领”的跨越。</w:t>
      </w:r>
    </w:p>
    <w:p>
      <w:r>
        <w:t>重点目标包括：</w:t>
      </w:r>
    </w:p>
    <w:p>
      <w:pPr>
        <w:pStyle w:val="ListBullet"/>
      </w:pPr>
      <w:r>
        <w:t>建成具备国际影响力的量子自主科研 AI 平台。</w:t>
      </w:r>
    </w:p>
    <w:p>
      <w:pPr>
        <w:pStyle w:val="ListBullet"/>
      </w:pPr>
      <w:r>
        <w:t>形成面向量子科研 AI 编排、实验数据组织、工具接口协议的标准规范体系。</w:t>
      </w:r>
    </w:p>
    <w:p>
      <w:pPr>
        <w:pStyle w:val="ListBullet"/>
      </w:pPr>
      <w:r>
        <w:t>在部分科研方向上实现 AI 自主承担子任务、持续生成高价值科研成果的能力。</w:t>
      </w:r>
    </w:p>
    <w:p>
      <w:pPr>
        <w:pStyle w:val="ListBullet"/>
      </w:pPr>
      <w:r>
        <w:t>建成围绕量智大脑的模型、工具、数据、知识、智能体、应用开发生态。</w:t>
      </w:r>
    </w:p>
    <w:p>
      <w:pPr>
        <w:pStyle w:val="Heading2"/>
      </w:pPr>
      <w:r>
        <w:t>（三）量化目标体系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spacing w:line="300" w:lineRule="auto"/>
              <w:ind w:firstLine="0"/>
            </w:pPr>
            <w:r>
              <w:rPr>
                <w:rFonts w:ascii="宋体" w:hAnsi="宋体" w:eastAsia="宋体"/>
                <w:b/>
                <w:sz w:val="21"/>
              </w:rPr>
              <w:t>目标类别</w:t>
            </w:r>
          </w:p>
        </w:tc>
        <w:tc>
          <w:tcPr>
            <w:tcW w:type="dxa" w:w="2161"/>
          </w:tcPr>
          <w:p>
            <w:pPr>
              <w:spacing w:line="300" w:lineRule="auto"/>
              <w:ind w:firstLine="0"/>
            </w:pPr>
            <w:r>
              <w:rPr>
                <w:rFonts w:ascii="宋体" w:hAnsi="宋体" w:eastAsia="宋体"/>
                <w:sz w:val="21"/>
              </w:rPr>
              <w:t>2027 年目标</w:t>
            </w:r>
          </w:p>
        </w:tc>
        <w:tc>
          <w:tcPr>
            <w:tcW w:type="dxa" w:w="2161"/>
          </w:tcPr>
          <w:p>
            <w:pPr>
              <w:spacing w:line="300" w:lineRule="auto"/>
              <w:ind w:firstLine="0"/>
            </w:pPr>
            <w:r>
              <w:rPr>
                <w:rFonts w:ascii="宋体" w:hAnsi="宋体" w:eastAsia="宋体"/>
                <w:sz w:val="21"/>
              </w:rPr>
              <w:t>2029 年目标</w:t>
            </w:r>
          </w:p>
        </w:tc>
        <w:tc>
          <w:tcPr>
            <w:tcW w:type="dxa" w:w="2161"/>
          </w:tcPr>
          <w:p>
            <w:pPr>
              <w:spacing w:line="300" w:lineRule="auto"/>
              <w:ind w:firstLine="0"/>
            </w:pPr>
            <w:r>
              <w:rPr>
                <w:rFonts w:ascii="宋体" w:hAnsi="宋体" w:eastAsia="宋体"/>
                <w:sz w:val="21"/>
              </w:rPr>
              <w:t>2030+ 目标</w:t>
            </w:r>
          </w:p>
        </w:tc>
      </w:tr>
      <w:tr>
        <w:tc>
          <w:tcPr>
            <w:tcW w:type="dxa" w:w="2161"/>
          </w:tcPr>
          <w:p>
            <w:pPr>
              <w:spacing w:line="300" w:lineRule="auto"/>
              <w:ind w:firstLine="0"/>
            </w:pPr>
            <w:r>
              <w:rPr>
                <w:rFonts w:ascii="宋体" w:hAnsi="宋体" w:eastAsia="宋体"/>
                <w:sz w:val="21"/>
              </w:rPr>
              <w:t>平台能力</w:t>
            </w:r>
          </w:p>
        </w:tc>
        <w:tc>
          <w:tcPr>
            <w:tcW w:type="dxa" w:w="2161"/>
          </w:tcPr>
          <w:p>
            <w:pPr>
              <w:spacing w:line="300" w:lineRule="auto"/>
              <w:ind w:firstLine="0"/>
            </w:pPr>
            <w:r>
              <w:rPr>
                <w:rFonts w:ascii="宋体" w:hAnsi="宋体" w:eastAsia="宋体"/>
                <w:sz w:val="21"/>
              </w:rPr>
              <w:t>完成 V1.0 平台建设</w:t>
            </w:r>
          </w:p>
        </w:tc>
        <w:tc>
          <w:tcPr>
            <w:tcW w:type="dxa" w:w="2161"/>
          </w:tcPr>
          <w:p>
            <w:pPr>
              <w:spacing w:line="300" w:lineRule="auto"/>
              <w:ind w:firstLine="0"/>
            </w:pPr>
            <w:r>
              <w:rPr>
                <w:rFonts w:ascii="宋体" w:hAnsi="宋体" w:eastAsia="宋体"/>
                <w:sz w:val="21"/>
              </w:rPr>
              <w:t>形成 V2.0 混合专家架构</w:t>
            </w:r>
          </w:p>
        </w:tc>
        <w:tc>
          <w:tcPr>
            <w:tcW w:type="dxa" w:w="2161"/>
          </w:tcPr>
          <w:p>
            <w:pPr>
              <w:spacing w:line="300" w:lineRule="auto"/>
              <w:ind w:firstLine="0"/>
            </w:pPr>
            <w:r>
              <w:rPr>
                <w:rFonts w:ascii="宋体" w:hAnsi="宋体" w:eastAsia="宋体"/>
                <w:sz w:val="21"/>
              </w:rPr>
              <w:t>形成自主科研主流范式</w:t>
            </w:r>
          </w:p>
        </w:tc>
      </w:tr>
      <w:tr>
        <w:tc>
          <w:tcPr>
            <w:tcW w:type="dxa" w:w="2161"/>
          </w:tcPr>
          <w:p>
            <w:pPr>
              <w:spacing w:line="300" w:lineRule="auto"/>
              <w:ind w:firstLine="0"/>
            </w:pPr>
            <w:r>
              <w:rPr>
                <w:rFonts w:ascii="宋体" w:hAnsi="宋体" w:eastAsia="宋体"/>
                <w:sz w:val="21"/>
              </w:rPr>
              <w:t>智能体体系</w:t>
            </w:r>
          </w:p>
        </w:tc>
        <w:tc>
          <w:tcPr>
            <w:tcW w:type="dxa" w:w="2161"/>
          </w:tcPr>
          <w:p>
            <w:pPr>
              <w:spacing w:line="300" w:lineRule="auto"/>
              <w:ind w:firstLine="0"/>
            </w:pPr>
            <w:r>
              <w:rPr>
                <w:rFonts w:ascii="宋体" w:hAnsi="宋体" w:eastAsia="宋体"/>
                <w:sz w:val="21"/>
              </w:rPr>
              <w:t>发布 6 类核心智能体</w:t>
            </w:r>
          </w:p>
        </w:tc>
        <w:tc>
          <w:tcPr>
            <w:tcW w:type="dxa" w:w="2161"/>
          </w:tcPr>
          <w:p>
            <w:pPr>
              <w:spacing w:line="300" w:lineRule="auto"/>
              <w:ind w:firstLine="0"/>
            </w:pPr>
            <w:r>
              <w:rPr>
                <w:rFonts w:ascii="宋体" w:hAnsi="宋体" w:eastAsia="宋体"/>
                <w:sz w:val="21"/>
              </w:rPr>
              <w:t>形成 10+ 专业智能体矩阵</w:t>
            </w:r>
          </w:p>
        </w:tc>
        <w:tc>
          <w:tcPr>
            <w:tcW w:type="dxa" w:w="2161"/>
          </w:tcPr>
          <w:p>
            <w:pPr>
              <w:spacing w:line="300" w:lineRule="auto"/>
              <w:ind w:firstLine="0"/>
            </w:pPr>
            <w:r>
              <w:rPr>
                <w:rFonts w:ascii="宋体" w:hAnsi="宋体" w:eastAsia="宋体"/>
                <w:sz w:val="21"/>
              </w:rPr>
              <w:t>形成可自主协同智能体群</w:t>
            </w:r>
          </w:p>
        </w:tc>
      </w:tr>
      <w:tr>
        <w:tc>
          <w:tcPr>
            <w:tcW w:type="dxa" w:w="2161"/>
          </w:tcPr>
          <w:p>
            <w:pPr>
              <w:spacing w:line="300" w:lineRule="auto"/>
              <w:ind w:firstLine="0"/>
            </w:pPr>
            <w:r>
              <w:rPr>
                <w:rFonts w:ascii="宋体" w:hAnsi="宋体" w:eastAsia="宋体"/>
                <w:sz w:val="21"/>
              </w:rPr>
              <w:t>数据与知识</w:t>
            </w:r>
          </w:p>
        </w:tc>
        <w:tc>
          <w:tcPr>
            <w:tcW w:type="dxa" w:w="2161"/>
          </w:tcPr>
          <w:p>
            <w:pPr>
              <w:spacing w:line="300" w:lineRule="auto"/>
              <w:ind w:firstLine="0"/>
            </w:pPr>
            <w:r>
              <w:rPr>
                <w:rFonts w:ascii="宋体" w:hAnsi="宋体" w:eastAsia="宋体"/>
                <w:sz w:val="21"/>
              </w:rPr>
              <w:t>知识图谱 V1.0、项目记忆闭环</w:t>
            </w:r>
          </w:p>
        </w:tc>
        <w:tc>
          <w:tcPr>
            <w:tcW w:type="dxa" w:w="2161"/>
          </w:tcPr>
          <w:p>
            <w:pPr>
              <w:spacing w:line="300" w:lineRule="auto"/>
              <w:ind w:firstLine="0"/>
            </w:pPr>
            <w:r>
              <w:rPr>
                <w:rFonts w:ascii="宋体" w:hAnsi="宋体" w:eastAsia="宋体"/>
                <w:sz w:val="21"/>
              </w:rPr>
              <w:t>构建全生命周期数据中台</w:t>
            </w:r>
          </w:p>
        </w:tc>
        <w:tc>
          <w:tcPr>
            <w:tcW w:type="dxa" w:w="2161"/>
          </w:tcPr>
          <w:p>
            <w:pPr>
              <w:spacing w:line="300" w:lineRule="auto"/>
              <w:ind w:firstLine="0"/>
            </w:pPr>
            <w:r>
              <w:rPr>
                <w:rFonts w:ascii="宋体" w:hAnsi="宋体" w:eastAsia="宋体"/>
                <w:sz w:val="21"/>
              </w:rPr>
              <w:t>动态演进知识图谱成为核心资产</w:t>
            </w:r>
          </w:p>
        </w:tc>
      </w:tr>
      <w:tr>
        <w:tc>
          <w:tcPr>
            <w:tcW w:type="dxa" w:w="2161"/>
          </w:tcPr>
          <w:p>
            <w:pPr>
              <w:spacing w:line="300" w:lineRule="auto"/>
              <w:ind w:firstLine="0"/>
            </w:pPr>
            <w:r>
              <w:rPr>
                <w:rFonts w:ascii="宋体" w:hAnsi="宋体" w:eastAsia="宋体"/>
                <w:sz w:val="21"/>
              </w:rPr>
              <w:t>平台赋能</w:t>
            </w:r>
          </w:p>
        </w:tc>
        <w:tc>
          <w:tcPr>
            <w:tcW w:type="dxa" w:w="2161"/>
          </w:tcPr>
          <w:p>
            <w:pPr>
              <w:spacing w:line="300" w:lineRule="auto"/>
              <w:ind w:firstLine="0"/>
            </w:pPr>
            <w:r>
              <w:rPr>
                <w:rFonts w:ascii="宋体" w:hAnsi="宋体" w:eastAsia="宋体"/>
                <w:sz w:val="21"/>
              </w:rPr>
              <w:t>打通 3 个典型示范场景</w:t>
            </w:r>
          </w:p>
        </w:tc>
        <w:tc>
          <w:tcPr>
            <w:tcW w:type="dxa" w:w="2161"/>
          </w:tcPr>
          <w:p>
            <w:pPr>
              <w:spacing w:line="300" w:lineRule="auto"/>
              <w:ind w:firstLine="0"/>
            </w:pPr>
            <w:r>
              <w:rPr>
                <w:rFonts w:ascii="宋体" w:hAnsi="宋体" w:eastAsia="宋体"/>
                <w:sz w:val="21"/>
              </w:rPr>
              <w:t>覆盖 50% 以上关键环节</w:t>
            </w:r>
          </w:p>
        </w:tc>
        <w:tc>
          <w:tcPr>
            <w:tcW w:type="dxa" w:w="2161"/>
          </w:tcPr>
          <w:p>
            <w:pPr>
              <w:spacing w:line="300" w:lineRule="auto"/>
              <w:ind w:firstLine="0"/>
            </w:pPr>
            <w:r>
              <w:rPr>
                <w:rFonts w:ascii="宋体" w:hAnsi="宋体" w:eastAsia="宋体"/>
                <w:sz w:val="21"/>
              </w:rPr>
              <w:t>成为中心全部平台统一智能入口</w:t>
            </w:r>
          </w:p>
        </w:tc>
      </w:tr>
      <w:tr>
        <w:tc>
          <w:tcPr>
            <w:tcW w:type="dxa" w:w="2161"/>
          </w:tcPr>
          <w:p>
            <w:pPr>
              <w:spacing w:line="300" w:lineRule="auto"/>
              <w:ind w:firstLine="0"/>
            </w:pPr>
            <w:r>
              <w:rPr>
                <w:rFonts w:ascii="宋体" w:hAnsi="宋体" w:eastAsia="宋体"/>
                <w:sz w:val="21"/>
              </w:rPr>
              <w:t>自主科研</w:t>
            </w:r>
          </w:p>
        </w:tc>
        <w:tc>
          <w:tcPr>
            <w:tcW w:type="dxa" w:w="2161"/>
          </w:tcPr>
          <w:p>
            <w:pPr>
              <w:spacing w:line="300" w:lineRule="auto"/>
              <w:ind w:firstLine="0"/>
            </w:pPr>
            <w:r>
              <w:rPr>
                <w:rFonts w:ascii="宋体" w:hAnsi="宋体" w:eastAsia="宋体"/>
                <w:sz w:val="21"/>
              </w:rPr>
              <w:t>完成 PoC 级验证</w:t>
            </w:r>
          </w:p>
        </w:tc>
        <w:tc>
          <w:tcPr>
            <w:tcW w:type="dxa" w:w="2161"/>
          </w:tcPr>
          <w:p>
            <w:pPr>
              <w:spacing w:line="300" w:lineRule="auto"/>
              <w:ind w:firstLine="0"/>
            </w:pPr>
            <w:r>
              <w:rPr>
                <w:rFonts w:ascii="宋体" w:hAnsi="宋体" w:eastAsia="宋体"/>
                <w:sz w:val="21"/>
              </w:rPr>
              <w:t>完成领域级闭环示范</w:t>
            </w:r>
          </w:p>
        </w:tc>
        <w:tc>
          <w:tcPr>
            <w:tcW w:type="dxa" w:w="2161"/>
          </w:tcPr>
          <w:p>
            <w:pPr>
              <w:spacing w:line="300" w:lineRule="auto"/>
              <w:ind w:firstLine="0"/>
            </w:pPr>
            <w:r>
              <w:rPr>
                <w:rFonts w:ascii="宋体" w:hAnsi="宋体" w:eastAsia="宋体"/>
                <w:sz w:val="21"/>
              </w:rPr>
              <w:t>在部分方向实现自主发现</w:t>
            </w:r>
          </w:p>
        </w:tc>
      </w:tr>
    </w:tbl>
    <w:p>
      <w:r>
        <w:br w:type="page"/>
      </w:r>
    </w:p>
    <w:p>
      <w:pPr>
        <w:pStyle w:val="Heading1"/>
      </w:pPr>
      <w:r>
        <w:t>三、技术体系架构</w:t>
      </w:r>
    </w:p>
    <w:p>
      <w:pPr>
        <w:pStyle w:val="Heading2"/>
      </w:pPr>
      <w:r>
        <w:t>（一）技术体系架构图</w:t>
      </w:r>
    </w:p>
    <w:p>
      <w:pPr>
        <w:ind w:firstLine="0"/>
        <w:jc w:val="center"/>
      </w:pPr>
      <w:r>
        <w:drawing>
          <wp:inline xmlns:a="http://schemas.openxmlformats.org/drawingml/2006/main" xmlns:pic="http://schemas.openxmlformats.org/drawingml/2006/picture">
            <wp:extent cx="5760720" cy="3224554"/>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760720" cy="3224554"/>
                    </a:xfrm>
                    <a:prstGeom prst="rect"/>
                  </pic:spPr>
                </pic:pic>
              </a:graphicData>
            </a:graphic>
          </wp:inline>
        </w:drawing>
      </w:r>
    </w:p>
    <w:p>
      <w:pPr>
        <w:ind w:firstLine="0"/>
        <w:jc w:val="center"/>
      </w:pPr>
      <w:r>
        <w:t>图 1 量智大脑平台技术体系架构图</w:t>
      </w:r>
    </w:p>
    <w:p>
      <w:r>
        <w:t>量智大脑总体采用“客户端入口层 + 智能中枢层 + 工具与数据层 + 自主演进层”的四层技术体系：</w:t>
      </w:r>
    </w:p>
    <w:p>
      <w:pPr>
        <w:pStyle w:val="ListNumber"/>
      </w:pPr>
      <w:r>
        <w:rPr>
          <w:b/>
        </w:rPr>
        <w:t>客户端入口层。</w:t>
      </w:r>
      <w:r>
        <w:t xml:space="preserve"> 包括桌面客户端、Web 客户端、CLI 客户端和嵌入式面板，是统一的人机交互界面。</w:t>
      </w:r>
    </w:p>
    <w:p>
      <w:pPr>
        <w:pStyle w:val="ListNumber"/>
      </w:pPr>
      <w:r>
        <w:rPr>
          <w:b/>
        </w:rPr>
        <w:t>智能中枢层。</w:t>
      </w:r>
      <w:r>
        <w:t xml:space="preserve"> 由 Gateway、Brain、Orchestrator、Agent Router 构成，负责会话管理、权限控制、模型调度、智能体分发和任务流水线执行。</w:t>
      </w:r>
    </w:p>
    <w:p>
      <w:pPr>
        <w:pStyle w:val="ListNumber"/>
      </w:pPr>
      <w:r>
        <w:rPr>
          <w:b/>
        </w:rPr>
        <w:t>工具与数据层。</w:t>
      </w:r>
      <w:r>
        <w:t xml:space="preserve"> 由 Hands、Knowledge、Memory、State Store、Data Connectors、Sidecar API 构成，负责外部工具调用、数据接入、知识治理和状态持久化。</w:t>
      </w:r>
    </w:p>
    <w:p>
      <w:pPr>
        <w:pStyle w:val="ListNumber"/>
      </w:pPr>
      <w:r>
        <w:rPr>
          <w:b/>
        </w:rPr>
        <w:t>自主演进层。</w:t>
      </w:r>
      <w:r>
        <w:t xml:space="preserve"> 由 Heartbeat、Skills、Feedback Loop、Model Tuning、Policy Engine 构成，负责后台任务、自主巡检、策略优化和能力迭代。</w:t>
      </w:r>
    </w:p>
    <w:p>
      <w:pPr>
        <w:pStyle w:val="Heading2"/>
      </w:pPr>
      <w:r>
        <w:t>（二）核心架构说明</w:t>
      </w:r>
    </w:p>
    <w:p>
      <w:r>
        <w:rPr>
          <w:b/>
        </w:rPr>
        <w:t>1. Gateway：统一入口与连接器。</w:t>
      </w:r>
    </w:p>
    <w:p>
      <w:r>
        <w:t>面向客户端和外部系统提供标准化 REST/WS 接口，负责会话、认证、系统路由、心跳状态和静态资源管理，是量智大脑的统一入口。</w:t>
      </w:r>
    </w:p>
    <w:p>
      <w:r>
        <w:rPr>
          <w:b/>
        </w:rPr>
        <w:t>2. Brain：量子科学混合专家推理引擎。</w:t>
      </w:r>
    </w:p>
    <w:p>
      <w:r>
        <w:t>不局限于单一通用 LLM，而是面向量子科学任务，形成“通用模型 + 领域模型 + 代码模型 + 专家规则”的协同推理框架。</w:t>
      </w:r>
    </w:p>
    <w:p>
      <w:r>
        <w:rPr>
          <w:b/>
        </w:rPr>
        <w:t>3. Orchestrator / Agent Router：任务分发与智能体编排中枢。</w:t>
      </w:r>
    </w:p>
    <w:p>
      <w:r>
        <w:t>面向复杂任务，根据任务类型、上下文、资源状态和历史经验，将请求动态路由到合适的智能体及工具链上。</w:t>
      </w:r>
    </w:p>
    <w:p>
      <w:r>
        <w:rPr>
          <w:b/>
        </w:rPr>
        <w:t>4. Hands：面向量子科技的工具执行总线。</w:t>
      </w:r>
    </w:p>
    <w:p>
      <w:r>
        <w:t>将设计、仿真、制造、测控、数据和情报系统统一封装为可编排工具，形成 AI 能够安全调用的“执行层”。</w:t>
      </w:r>
    </w:p>
    <w:p>
      <w:r>
        <w:rPr>
          <w:b/>
        </w:rPr>
        <w:t>5. Knowledge + Memory：知识图谱与项目记忆双底座。</w:t>
      </w:r>
    </w:p>
    <w:p>
      <w:r>
        <w:t>前者解决事实、关系、文献和资产组织问题，后者解决项目上下文、决策历史和阶段性认知积累问题。</w:t>
      </w:r>
    </w:p>
    <w:p>
      <w:r>
        <w:rPr>
          <w:b/>
        </w:rPr>
        <w:t>6. Heartbeat + Skills：自主运行与能力扩展双引擎。</w:t>
      </w:r>
    </w:p>
    <w:p>
      <w:r>
        <w:t>Heartbeat 支撑后台任务、自主巡检、自主提醒；Skills 支撑以 YAML/Markdown/规则包为载体的快速能力扩展。</w:t>
      </w:r>
    </w:p>
    <w:p>
      <w:pPr>
        <w:pStyle w:val="Heading2"/>
      </w:pPr>
      <w:r>
        <w:t>（三）数据流与控制流</w:t>
      </w:r>
    </w:p>
    <w:p>
      <w:pPr>
        <w:pStyle w:val="ListBullet"/>
      </w:pPr>
      <w:r>
        <w:rPr>
          <w:b/>
        </w:rPr>
        <w:t>控制流：</w:t>
      </w:r>
      <w:r>
        <w:t xml:space="preserve"> 用户请求 → Gateway → Orchestrator → Agent Router → Brain → Hands → 外部系统/数据层。</w:t>
      </w:r>
    </w:p>
    <w:p>
      <w:pPr>
        <w:pStyle w:val="ListBullet"/>
      </w:pPr>
      <w:r>
        <w:rPr>
          <w:b/>
        </w:rPr>
        <w:t>数据流：</w:t>
      </w:r>
      <w:r>
        <w:t xml:space="preserve"> 外部系统结果 → 对话上下文 → Memory → Knowledge → 报告/推送/反馈。</w:t>
      </w:r>
    </w:p>
    <w:p>
      <w:pPr>
        <w:pStyle w:val="ListBullet"/>
      </w:pPr>
      <w:r>
        <w:rPr>
          <w:b/>
        </w:rPr>
        <w:t>学习流：</w:t>
      </w:r>
      <w:r>
        <w:t xml:space="preserve"> 执行结果、人工反馈、指标变化 → Policy Engine / Tuning → 模型与智能体持续优化。</w:t>
      </w:r>
    </w:p>
    <w:p>
      <w:pPr>
        <w:pStyle w:val="Heading2"/>
      </w:pPr>
      <w:r>
        <w:t>（四）与中心其他平台的关系</w:t>
      </w:r>
    </w:p>
    <w:p>
      <w:r>
        <w:t>量智大脑不是独立孤岛，而是研发中心其他平台的共同智能底座。它为 Q-EDA、材料器件、数字制造、测控计量、云平台、量子赋能 AI 等平台提供统一的：</w:t>
      </w:r>
    </w:p>
    <w:p>
      <w:pPr>
        <w:pStyle w:val="ListBullet"/>
      </w:pPr>
      <w:r>
        <w:t>智能体能力</w:t>
      </w:r>
    </w:p>
    <w:p>
      <w:pPr>
        <w:pStyle w:val="ListBullet"/>
      </w:pPr>
      <w:r>
        <w:t>数据与知识服务</w:t>
      </w:r>
    </w:p>
    <w:p>
      <w:pPr>
        <w:pStyle w:val="ListBullet"/>
      </w:pPr>
      <w:r>
        <w:t>工具编排服务</w:t>
      </w:r>
    </w:p>
    <w:p>
      <w:pPr>
        <w:pStyle w:val="ListBullet"/>
      </w:pPr>
      <w:r>
        <w:t>自主任务调度能力</w:t>
      </w:r>
    </w:p>
    <w:p>
      <w:pPr>
        <w:pStyle w:val="ListBullet"/>
      </w:pPr>
      <w:r>
        <w:t>分析决策与报告生成能力</w:t>
      </w:r>
    </w:p>
    <w:p>
      <w:r>
        <w:br w:type="page"/>
      </w:r>
    </w:p>
    <w:p>
      <w:pPr>
        <w:pStyle w:val="Heading1"/>
      </w:pPr>
      <w:r>
        <w:t>四、重点攻关任务</w:t>
      </w:r>
    </w:p>
    <w:p>
      <w:r>
        <w:rPr>
          <w:b/>
        </w:rPr>
        <w:t>任务总述：</w:t>
      </w:r>
      <w:r>
        <w:t xml:space="preserve"> 量智大脑设置 </w:t>
      </w:r>
      <w:r>
        <w:rPr>
          <w:b/>
        </w:rPr>
        <w:t>6 项</w:t>
      </w:r>
      <w:r>
        <w:t>重点攻关任务，按“基础底座 → 核心智能 → 数据知识 → 自主闭环 → 平台输出”逻辑展开。总体上分为三层：</w:t>
      </w:r>
    </w:p>
    <w:p>
      <w:r>
        <w:t>第一层是</w:t>
      </w:r>
      <w:r>
        <w:rPr>
          <w:b/>
        </w:rPr>
        <w:t>中台底座</w:t>
      </w:r>
      <w:r>
        <w:t>，解决统一入口、统一执行、统一数据问题；</w:t>
      </w:r>
    </w:p>
    <w:p>
      <w:r>
        <w:t>第二层是</w:t>
      </w:r>
      <w:r>
        <w:rPr>
          <w:b/>
        </w:rPr>
        <w:t>核心智能</w:t>
      </w:r>
      <w:r>
        <w:t>，解决模型、路由、智能体与科研任务协同问题；</w:t>
      </w:r>
    </w:p>
    <w:p>
      <w:r>
        <w:t>第三层是</w:t>
      </w:r>
      <w:r>
        <w:rPr>
          <w:b/>
        </w:rPr>
        <w:t>自主闭环</w:t>
      </w:r>
      <w:r>
        <w:t>，解决从辅助决策到自主科研的能力跃迁问题。</w:t>
      </w:r>
    </w:p>
    <w:p>
      <w:pPr>
        <w:pStyle w:val="Heading2"/>
      </w:pPr>
      <w:r>
        <w:t>子任务一：建设统一接入与量子科研智能网关</w:t>
      </w:r>
    </w:p>
    <w:p>
      <w:pPr>
        <w:pStyle w:val="Heading3"/>
      </w:pPr>
      <w:r>
        <w:t>1. 任务背景与任务目标</w:t>
      </w:r>
    </w:p>
    <w:p>
      <w:r>
        <w:t>量子科技场景用户角色复杂、终端形态多样、部署环境以内网和专网为主，必须构建统一、稳定、安全、可治理的接入层。</w:t>
      </w:r>
    </w:p>
    <w:p>
      <w:r>
        <w:t>本任务目标是建设面向桌面端、Web 端、CLI 端及外部 API 的统一智能网关，形成会话管理、权限治理、任务接入、流式对话和平台可观测能力。</w:t>
      </w:r>
    </w:p>
    <w:p>
      <w:pPr>
        <w:pStyle w:val="Heading3"/>
      </w:pPr>
      <w:r>
        <w:t>2. 任务架构设计</w:t>
      </w:r>
    </w:p>
    <w:p>
      <w:pPr>
        <w:ind w:firstLine="0"/>
        <w:jc w:val="center"/>
      </w:pPr>
      <w:r>
        <w:drawing>
          <wp:inline xmlns:a="http://schemas.openxmlformats.org/drawingml/2006/main" xmlns:pic="http://schemas.openxmlformats.org/drawingml/2006/picture">
            <wp:extent cx="5760720" cy="3224554"/>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760720" cy="3224554"/>
                    </a:xfrm>
                    <a:prstGeom prst="rect"/>
                  </pic:spPr>
                </pic:pic>
              </a:graphicData>
            </a:graphic>
          </wp:inline>
        </w:drawing>
      </w:r>
    </w:p>
    <w:p>
      <w:pPr>
        <w:ind w:firstLine="0"/>
        <w:jc w:val="center"/>
      </w:pPr>
      <w:r>
        <w:t>图 2 子任务一：Gateway 与客户端接入架构图</w:t>
      </w:r>
    </w:p>
    <w:p>
      <w:r>
        <w:t>子模块包括：</w:t>
      </w:r>
    </w:p>
    <w:p>
      <w:pPr>
        <w:pStyle w:val="ListBullet"/>
      </w:pPr>
      <w:r>
        <w:t>接入网关</w:t>
      </w:r>
    </w:p>
    <w:p>
      <w:pPr>
        <w:pStyle w:val="ListBullet"/>
      </w:pPr>
      <w:r>
        <w:t>统一认证与权限控制</w:t>
      </w:r>
    </w:p>
    <w:p>
      <w:pPr>
        <w:pStyle w:val="ListBullet"/>
      </w:pPr>
      <w:r>
        <w:t>会话与上下文管理</w:t>
      </w:r>
    </w:p>
    <w:p>
      <w:pPr>
        <w:pStyle w:val="ListBullet"/>
      </w:pPr>
      <w:r>
        <w:t>WebSocket/流式通道</w:t>
      </w:r>
    </w:p>
    <w:p>
      <w:pPr>
        <w:pStyle w:val="ListBullet"/>
      </w:pPr>
      <w:r>
        <w:t>系统健康与监控接口</w:t>
      </w:r>
    </w:p>
    <w:p>
      <w:pPr>
        <w:pStyle w:val="ListBullet"/>
      </w:pPr>
      <w:r>
        <w:t>面向其他平台的开放 API</w:t>
      </w:r>
    </w:p>
    <w:p>
      <w:pPr>
        <w:pStyle w:val="Heading3"/>
      </w:pPr>
      <w:r>
        <w:t>3. 关键技术 / 核心技术创新</w:t>
      </w:r>
    </w:p>
    <w:p>
      <w:r>
        <w:rPr>
          <w:b/>
        </w:rPr>
        <w:t>关键技术一：面向科研复杂场景的统一会话总线</w:t>
      </w:r>
    </w:p>
    <w:p>
      <w:r>
        <w:t>支持长会话、多轮推理、工具回调、任务中断和状态恢复。</w:t>
      </w:r>
    </w:p>
    <w:p>
      <w:r>
        <w:rPr>
          <w:b/>
        </w:rPr>
        <w:t>关键技术二：内网优先与多部署形态适配</w:t>
      </w:r>
    </w:p>
    <w:p>
      <w:r>
        <w:t>兼容桌面、浏览器、实验室终端、嵌入式面板和专网环境。</w:t>
      </w:r>
    </w:p>
    <w:p>
      <w:r>
        <w:rPr>
          <w:b/>
        </w:rPr>
        <w:t>关键技术三：平台化可观测能力</w:t>
      </w:r>
    </w:p>
    <w:p>
      <w:r>
        <w:t>支持健康检查、任务状态、工具调用链、异常追踪和执行审计。</w:t>
      </w:r>
    </w:p>
    <w:p>
      <w:pPr>
        <w:pStyle w:val="Heading3"/>
      </w:pPr>
      <w:r>
        <w:t>4. 核心指标</w:t>
      </w:r>
    </w:p>
    <w:tbl>
      <w:tblPr>
        <w:tblStyle w:val="TableGrid"/>
        <w:tblW w:type="auto" w:w="0"/>
        <w:tblLook w:firstColumn="1" w:firstRow="1" w:lastColumn="0" w:lastRow="0" w:noHBand="0" w:noVBand="1" w:val="04A0"/>
      </w:tblPr>
      <w:tblGrid>
        <w:gridCol w:w="4323"/>
        <w:gridCol w:w="4323"/>
      </w:tblGrid>
      <w:tr>
        <w:tc>
          <w:tcPr>
            <w:tcW w:type="dxa" w:w="4323"/>
          </w:tcPr>
          <w:p>
            <w:pPr>
              <w:spacing w:line="300" w:lineRule="auto"/>
              <w:ind w:firstLine="0"/>
            </w:pPr>
            <w:r>
              <w:rPr>
                <w:rFonts w:ascii="宋体" w:hAnsi="宋体" w:eastAsia="宋体"/>
                <w:b/>
                <w:sz w:val="21"/>
              </w:rPr>
              <w:t>指标</w:t>
            </w:r>
          </w:p>
        </w:tc>
        <w:tc>
          <w:tcPr>
            <w:tcW w:type="dxa" w:w="4323"/>
          </w:tcPr>
          <w:p>
            <w:pPr>
              <w:spacing w:line="300" w:lineRule="auto"/>
              <w:ind w:firstLine="0"/>
            </w:pPr>
            <w:r>
              <w:rPr>
                <w:rFonts w:ascii="宋体" w:hAnsi="宋体" w:eastAsia="宋体"/>
                <w:sz w:val="21"/>
              </w:rPr>
              <w:t>目标值</w:t>
            </w:r>
          </w:p>
        </w:tc>
      </w:tr>
      <w:tr>
        <w:tc>
          <w:tcPr>
            <w:tcW w:type="dxa" w:w="4323"/>
          </w:tcPr>
          <w:p>
            <w:pPr>
              <w:spacing w:line="300" w:lineRule="auto"/>
              <w:ind w:firstLine="0"/>
            </w:pPr>
            <w:r>
              <w:rPr>
                <w:rFonts w:ascii="宋体" w:hAnsi="宋体" w:eastAsia="宋体"/>
                <w:sz w:val="21"/>
              </w:rPr>
              <w:t>核心接口可用率</w:t>
            </w:r>
          </w:p>
        </w:tc>
        <w:tc>
          <w:tcPr>
            <w:tcW w:type="dxa" w:w="4323"/>
          </w:tcPr>
          <w:p>
            <w:pPr>
              <w:spacing w:line="300" w:lineRule="auto"/>
              <w:ind w:firstLine="0"/>
            </w:pPr>
            <w:r>
              <w:rPr>
                <w:rFonts w:ascii="宋体" w:hAnsi="宋体" w:eastAsia="宋体"/>
                <w:sz w:val="21"/>
              </w:rPr>
              <w:t>≥99.5%</w:t>
            </w:r>
          </w:p>
        </w:tc>
      </w:tr>
      <w:tr>
        <w:tc>
          <w:tcPr>
            <w:tcW w:type="dxa" w:w="4323"/>
          </w:tcPr>
          <w:p>
            <w:pPr>
              <w:spacing w:line="300" w:lineRule="auto"/>
              <w:ind w:firstLine="0"/>
            </w:pPr>
            <w:r>
              <w:rPr>
                <w:rFonts w:ascii="宋体" w:hAnsi="宋体" w:eastAsia="宋体"/>
                <w:sz w:val="21"/>
              </w:rPr>
              <w:t>会话恢复成功率</w:t>
            </w:r>
          </w:p>
        </w:tc>
        <w:tc>
          <w:tcPr>
            <w:tcW w:type="dxa" w:w="4323"/>
          </w:tcPr>
          <w:p>
            <w:pPr>
              <w:spacing w:line="300" w:lineRule="auto"/>
              <w:ind w:firstLine="0"/>
            </w:pPr>
            <w:r>
              <w:rPr>
                <w:rFonts w:ascii="宋体" w:hAnsi="宋体" w:eastAsia="宋体"/>
                <w:sz w:val="21"/>
              </w:rPr>
              <w:t>≥95%</w:t>
            </w:r>
          </w:p>
        </w:tc>
      </w:tr>
      <w:tr>
        <w:tc>
          <w:tcPr>
            <w:tcW w:type="dxa" w:w="4323"/>
          </w:tcPr>
          <w:p>
            <w:pPr>
              <w:spacing w:line="300" w:lineRule="auto"/>
              <w:ind w:firstLine="0"/>
            </w:pPr>
            <w:r>
              <w:rPr>
                <w:rFonts w:ascii="宋体" w:hAnsi="宋体" w:eastAsia="宋体"/>
                <w:sz w:val="21"/>
              </w:rPr>
              <w:t>流式对话稳定性</w:t>
            </w:r>
          </w:p>
        </w:tc>
        <w:tc>
          <w:tcPr>
            <w:tcW w:type="dxa" w:w="4323"/>
          </w:tcPr>
          <w:p>
            <w:pPr>
              <w:spacing w:line="300" w:lineRule="auto"/>
              <w:ind w:firstLine="0"/>
            </w:pPr>
            <w:r>
              <w:rPr>
                <w:rFonts w:ascii="宋体" w:hAnsi="宋体" w:eastAsia="宋体"/>
                <w:sz w:val="21"/>
              </w:rPr>
              <w:t>长会话场景无异常中断</w:t>
            </w:r>
          </w:p>
        </w:tc>
      </w:tr>
      <w:tr>
        <w:tc>
          <w:tcPr>
            <w:tcW w:type="dxa" w:w="4323"/>
          </w:tcPr>
          <w:p>
            <w:pPr>
              <w:spacing w:line="300" w:lineRule="auto"/>
              <w:ind w:firstLine="0"/>
            </w:pPr>
            <w:r>
              <w:rPr>
                <w:rFonts w:ascii="宋体" w:hAnsi="宋体" w:eastAsia="宋体"/>
                <w:sz w:val="21"/>
              </w:rPr>
              <w:t>客户端形态支持</w:t>
            </w:r>
          </w:p>
        </w:tc>
        <w:tc>
          <w:tcPr>
            <w:tcW w:type="dxa" w:w="4323"/>
          </w:tcPr>
          <w:p>
            <w:pPr>
              <w:spacing w:line="300" w:lineRule="auto"/>
              <w:ind w:firstLine="0"/>
            </w:pPr>
            <w:r>
              <w:rPr>
                <w:rFonts w:ascii="宋体" w:hAnsi="宋体" w:eastAsia="宋体"/>
                <w:sz w:val="21"/>
              </w:rPr>
              <w:t>桌面/Web/CLI 全覆盖</w:t>
            </w:r>
          </w:p>
        </w:tc>
      </w:tr>
    </w:tbl>
    <w:p>
      <w:pPr>
        <w:pStyle w:val="Heading2"/>
      </w:pPr>
      <w:r>
        <w:t>子任务二：建设量子科学混合专家模型与智能体路由中枢</w:t>
      </w:r>
    </w:p>
    <w:p>
      <w:pPr>
        <w:pStyle w:val="Heading3"/>
      </w:pPr>
      <w:r>
        <w:t>1. 任务背景与任务目标</w:t>
      </w:r>
    </w:p>
    <w:p>
      <w:r>
        <w:t>量子科技任务具有高度专业化特征，仅依赖单一通用大模型难以满足设计、理论、制造、测控、数据和知识工程等复杂任务需求。</w:t>
      </w:r>
    </w:p>
    <w:p>
      <w:r>
        <w:t>本任务目标是构建面向量子科技的混合专家推理引擎与智能路由体系，实现“模型组合 + 智能体组合 + 工具组合”的协同求解。</w:t>
      </w:r>
    </w:p>
    <w:p>
      <w:pPr>
        <w:pStyle w:val="Heading3"/>
      </w:pPr>
      <w:r>
        <w:t>2. 任务架构设计</w:t>
      </w:r>
    </w:p>
    <w:p>
      <w:pPr>
        <w:ind w:firstLine="0"/>
        <w:jc w:val="center"/>
      </w:pPr>
      <w:r>
        <w:drawing>
          <wp:inline xmlns:a="http://schemas.openxmlformats.org/drawingml/2006/main" xmlns:pic="http://schemas.openxmlformats.org/drawingml/2006/picture">
            <wp:extent cx="5760720" cy="3224554"/>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760720" cy="3224554"/>
                    </a:xfrm>
                    <a:prstGeom prst="rect"/>
                  </pic:spPr>
                </pic:pic>
              </a:graphicData>
            </a:graphic>
          </wp:inline>
        </w:drawing>
      </w:r>
    </w:p>
    <w:p>
      <w:pPr>
        <w:ind w:firstLine="0"/>
        <w:jc w:val="center"/>
      </w:pPr>
      <w:r>
        <w:t>图 3 子任务二：Brain 与 Orchestrator 工具循环示意图</w:t>
      </w:r>
    </w:p>
    <w:p>
      <w:r>
        <w:t>技术框架包括：</w:t>
      </w:r>
    </w:p>
    <w:p>
      <w:pPr>
        <w:pStyle w:val="ListBullet"/>
      </w:pPr>
      <w:r>
        <w:t>通用大模型接入层</w:t>
      </w:r>
    </w:p>
    <w:p>
      <w:pPr>
        <w:pStyle w:val="ListBullet"/>
      </w:pPr>
      <w:r>
        <w:t>量子物理、设计、工艺、数据等垂直模型层</w:t>
      </w:r>
    </w:p>
    <w:p>
      <w:pPr>
        <w:pStyle w:val="ListBullet"/>
      </w:pPr>
      <w:r>
        <w:t>Agent Router 智能路由层</w:t>
      </w:r>
    </w:p>
    <w:p>
      <w:pPr>
        <w:pStyle w:val="ListBullet"/>
      </w:pPr>
      <w:r>
        <w:t>Tool Call 推理执行循环</w:t>
      </w:r>
    </w:p>
    <w:p>
      <w:pPr>
        <w:pStyle w:val="ListBullet"/>
      </w:pPr>
      <w:r>
        <w:t>结果回注与策略优化层</w:t>
      </w:r>
    </w:p>
    <w:p>
      <w:pPr>
        <w:pStyle w:val="Heading3"/>
      </w:pPr>
      <w:r>
        <w:t>3. 关键技术 / 核心技术创新</w:t>
      </w:r>
    </w:p>
    <w:p>
      <w:r>
        <w:rPr>
          <w:b/>
        </w:rPr>
        <w:t>关键技术一：混合专家模型路由</w:t>
      </w:r>
    </w:p>
    <w:p>
      <w:r>
        <w:t>针对不同任务，动态调用通用模型、代码模型、领域模型和规则系统，而不是固定模型单点输出。</w:t>
      </w:r>
    </w:p>
    <w:p>
      <w:r>
        <w:rPr>
          <w:b/>
        </w:rPr>
        <w:t>关键技术二：科研任务分解与多智能体协同</w:t>
      </w:r>
    </w:p>
    <w:p>
      <w:r>
        <w:t>将复杂问题拆解为设计、仿真、分析、总结、执行等子任务，分配给相应智能体协作完成。</w:t>
      </w:r>
    </w:p>
    <w:p>
      <w:r>
        <w:rPr>
          <w:b/>
        </w:rPr>
        <w:t>关键技术三：可审计推理链与工具调用链</w:t>
      </w:r>
    </w:p>
    <w:p>
      <w:r>
        <w:t>支持从用户问题到工具执行再到结论输出的全过程可追溯。</w:t>
      </w:r>
    </w:p>
    <w:p>
      <w:pPr>
        <w:pStyle w:val="Heading3"/>
      </w:pPr>
      <w:r>
        <w:t>4. 核心指标</w:t>
      </w:r>
    </w:p>
    <w:tbl>
      <w:tblPr>
        <w:tblStyle w:val="TableGrid"/>
        <w:tblW w:type="auto" w:w="0"/>
        <w:tblLook w:firstColumn="1" w:firstRow="1" w:lastColumn="0" w:lastRow="0" w:noHBand="0" w:noVBand="1" w:val="04A0"/>
      </w:tblPr>
      <w:tblGrid>
        <w:gridCol w:w="4323"/>
        <w:gridCol w:w="4323"/>
      </w:tblGrid>
      <w:tr>
        <w:tc>
          <w:tcPr>
            <w:tcW w:type="dxa" w:w="4323"/>
          </w:tcPr>
          <w:p>
            <w:pPr>
              <w:spacing w:line="300" w:lineRule="auto"/>
              <w:ind w:firstLine="0"/>
            </w:pPr>
            <w:r>
              <w:rPr>
                <w:rFonts w:ascii="宋体" w:hAnsi="宋体" w:eastAsia="宋体"/>
                <w:b/>
                <w:sz w:val="21"/>
              </w:rPr>
              <w:t>指标</w:t>
            </w:r>
          </w:p>
        </w:tc>
        <w:tc>
          <w:tcPr>
            <w:tcW w:type="dxa" w:w="4323"/>
          </w:tcPr>
          <w:p>
            <w:pPr>
              <w:spacing w:line="300" w:lineRule="auto"/>
              <w:ind w:firstLine="0"/>
            </w:pPr>
            <w:r>
              <w:rPr>
                <w:rFonts w:ascii="宋体" w:hAnsi="宋体" w:eastAsia="宋体"/>
                <w:sz w:val="21"/>
              </w:rPr>
              <w:t>目标值</w:t>
            </w:r>
          </w:p>
        </w:tc>
      </w:tr>
      <w:tr>
        <w:tc>
          <w:tcPr>
            <w:tcW w:type="dxa" w:w="4323"/>
          </w:tcPr>
          <w:p>
            <w:pPr>
              <w:spacing w:line="300" w:lineRule="auto"/>
              <w:ind w:firstLine="0"/>
            </w:pPr>
            <w:r>
              <w:rPr>
                <w:rFonts w:ascii="宋体" w:hAnsi="宋体" w:eastAsia="宋体"/>
                <w:sz w:val="21"/>
              </w:rPr>
              <w:t>路由准确率</w:t>
            </w:r>
          </w:p>
        </w:tc>
        <w:tc>
          <w:tcPr>
            <w:tcW w:type="dxa" w:w="4323"/>
          </w:tcPr>
          <w:p>
            <w:pPr>
              <w:spacing w:line="300" w:lineRule="auto"/>
              <w:ind w:firstLine="0"/>
            </w:pPr>
            <w:r>
              <w:rPr>
                <w:rFonts w:ascii="宋体" w:hAnsi="宋体" w:eastAsia="宋体"/>
                <w:sz w:val="21"/>
              </w:rPr>
              <w:t>≥85%，持续提升</w:t>
            </w:r>
          </w:p>
        </w:tc>
      </w:tr>
      <w:tr>
        <w:tc>
          <w:tcPr>
            <w:tcW w:type="dxa" w:w="4323"/>
          </w:tcPr>
          <w:p>
            <w:pPr>
              <w:spacing w:line="300" w:lineRule="auto"/>
              <w:ind w:firstLine="0"/>
            </w:pPr>
            <w:r>
              <w:rPr>
                <w:rFonts w:ascii="宋体" w:hAnsi="宋体" w:eastAsia="宋体"/>
                <w:sz w:val="21"/>
              </w:rPr>
              <w:t>工具调用成功率</w:t>
            </w:r>
          </w:p>
        </w:tc>
        <w:tc>
          <w:tcPr>
            <w:tcW w:type="dxa" w:w="4323"/>
          </w:tcPr>
          <w:p>
            <w:pPr>
              <w:spacing w:line="300" w:lineRule="auto"/>
              <w:ind w:firstLine="0"/>
            </w:pPr>
            <w:r>
              <w:rPr>
                <w:rFonts w:ascii="宋体" w:hAnsi="宋体" w:eastAsia="宋体"/>
                <w:sz w:val="21"/>
              </w:rPr>
              <w:t>≥90%</w:t>
            </w:r>
          </w:p>
        </w:tc>
      </w:tr>
      <w:tr>
        <w:tc>
          <w:tcPr>
            <w:tcW w:type="dxa" w:w="4323"/>
          </w:tcPr>
          <w:p>
            <w:pPr>
              <w:spacing w:line="300" w:lineRule="auto"/>
              <w:ind w:firstLine="0"/>
            </w:pPr>
            <w:r>
              <w:rPr>
                <w:rFonts w:ascii="宋体" w:hAnsi="宋体" w:eastAsia="宋体"/>
                <w:sz w:val="21"/>
              </w:rPr>
              <w:t>多智能体协同任务成功率</w:t>
            </w:r>
          </w:p>
        </w:tc>
        <w:tc>
          <w:tcPr>
            <w:tcW w:type="dxa" w:w="4323"/>
          </w:tcPr>
          <w:p>
            <w:pPr>
              <w:spacing w:line="300" w:lineRule="auto"/>
              <w:ind w:firstLine="0"/>
            </w:pPr>
            <w:r>
              <w:rPr>
                <w:rFonts w:ascii="宋体" w:hAnsi="宋体" w:eastAsia="宋体"/>
                <w:sz w:val="21"/>
              </w:rPr>
              <w:t>≥80%</w:t>
            </w:r>
          </w:p>
        </w:tc>
      </w:tr>
      <w:tr>
        <w:tc>
          <w:tcPr>
            <w:tcW w:type="dxa" w:w="4323"/>
          </w:tcPr>
          <w:p>
            <w:pPr>
              <w:spacing w:line="300" w:lineRule="auto"/>
              <w:ind w:firstLine="0"/>
            </w:pPr>
            <w:r>
              <w:rPr>
                <w:rFonts w:ascii="宋体" w:hAnsi="宋体" w:eastAsia="宋体"/>
                <w:sz w:val="21"/>
              </w:rPr>
              <w:t>关键任务可审计率</w:t>
            </w:r>
          </w:p>
        </w:tc>
        <w:tc>
          <w:tcPr>
            <w:tcW w:type="dxa" w:w="4323"/>
          </w:tcPr>
          <w:p>
            <w:pPr>
              <w:spacing w:line="300" w:lineRule="auto"/>
              <w:ind w:firstLine="0"/>
            </w:pPr>
            <w:r>
              <w:rPr>
                <w:rFonts w:ascii="宋体" w:hAnsi="宋体" w:eastAsia="宋体"/>
                <w:sz w:val="21"/>
              </w:rPr>
              <w:t>100%</w:t>
            </w:r>
          </w:p>
        </w:tc>
      </w:tr>
    </w:tbl>
    <w:p>
      <w:pPr>
        <w:pStyle w:val="Heading2"/>
      </w:pPr>
      <w:r>
        <w:t>子任务三：建设量子科技全生命周期智能体矩阵</w:t>
      </w:r>
    </w:p>
    <w:p>
      <w:pPr>
        <w:pStyle w:val="Heading3"/>
      </w:pPr>
      <w:r>
        <w:t>1. 任务背景与任务目标</w:t>
      </w:r>
    </w:p>
    <w:p>
      <w:r>
        <w:t>量子科技研发并非单角色活动，而是设计、理论、工艺、设备、测控、数据、知识、项目管理等多角色协同系统工程。</w:t>
      </w:r>
    </w:p>
    <w:p>
      <w:r>
        <w:t>本任务目标是围绕全生命周期形成一组专业化智能体，作为“量智大脑”的能力载体。</w:t>
      </w:r>
    </w:p>
    <w:p>
      <w:pPr>
        <w:pStyle w:val="Heading3"/>
      </w:pPr>
      <w:r>
        <w:t>2. 任务架构设计</w:t>
      </w:r>
    </w:p>
    <w:p>
      <w:pPr>
        <w:ind w:firstLine="0"/>
        <w:jc w:val="center"/>
      </w:pPr>
      <w:r>
        <w:drawing>
          <wp:inline xmlns:a="http://schemas.openxmlformats.org/drawingml/2006/main" xmlns:pic="http://schemas.openxmlformats.org/drawingml/2006/picture">
            <wp:extent cx="5760720" cy="3224554"/>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760720" cy="3224554"/>
                    </a:xfrm>
                    <a:prstGeom prst="rect"/>
                  </pic:spPr>
                </pic:pic>
              </a:graphicData>
            </a:graphic>
          </wp:inline>
        </w:drawing>
      </w:r>
    </w:p>
    <w:p>
      <w:pPr>
        <w:ind w:firstLine="0"/>
        <w:jc w:val="center"/>
      </w:pPr>
      <w:r>
        <w:t>图 4 子任务三：多智能体路由与流水线结构图</w:t>
      </w:r>
    </w:p>
    <w:p>
      <w:r>
        <w:t>重点建设的智能体包括：</w:t>
      </w:r>
    </w:p>
    <w:p>
      <w:pPr>
        <w:pStyle w:val="ListBullet"/>
      </w:pPr>
      <w:r>
        <w:t>AI 芯片设计师</w:t>
      </w:r>
    </w:p>
    <w:p>
      <w:pPr>
        <w:pStyle w:val="ListBullet"/>
      </w:pPr>
      <w:r>
        <w:t>AI 理论物理学家</w:t>
      </w:r>
    </w:p>
    <w:p>
      <w:pPr>
        <w:pStyle w:val="ListBullet"/>
      </w:pPr>
      <w:r>
        <w:t>AI 仿真工程师</w:t>
      </w:r>
    </w:p>
    <w:p>
      <w:pPr>
        <w:pStyle w:val="ListBullet"/>
      </w:pPr>
      <w:r>
        <w:t>AI 工艺工程师</w:t>
      </w:r>
    </w:p>
    <w:p>
      <w:pPr>
        <w:pStyle w:val="ListBullet"/>
      </w:pPr>
      <w:r>
        <w:t>AI 设备运维员</w:t>
      </w:r>
    </w:p>
    <w:p>
      <w:pPr>
        <w:pStyle w:val="ListBullet"/>
      </w:pPr>
      <w:r>
        <w:t>AI 测控科学家</w:t>
      </w:r>
    </w:p>
    <w:p>
      <w:pPr>
        <w:pStyle w:val="ListBullet"/>
      </w:pPr>
      <w:r>
        <w:t>AI 数据分析师</w:t>
      </w:r>
    </w:p>
    <w:p>
      <w:pPr>
        <w:pStyle w:val="ListBullet"/>
      </w:pPr>
      <w:r>
        <w:t>AI 知识工程师</w:t>
      </w:r>
    </w:p>
    <w:p>
      <w:pPr>
        <w:pStyle w:val="ListBullet"/>
      </w:pPr>
      <w:r>
        <w:t>AI 情报员</w:t>
      </w:r>
    </w:p>
    <w:p>
      <w:pPr>
        <w:pStyle w:val="ListBullet"/>
      </w:pPr>
      <w:r>
        <w:t>AI 项目经理</w:t>
      </w:r>
    </w:p>
    <w:p>
      <w:pPr>
        <w:pStyle w:val="Heading3"/>
      </w:pPr>
      <w:r>
        <w:t>3. 关键技术 / 核心技术创新</w:t>
      </w:r>
    </w:p>
    <w:p>
      <w:r>
        <w:rPr>
          <w:b/>
        </w:rPr>
        <w:t>关键技术一：角色能力显式建模</w:t>
      </w:r>
    </w:p>
    <w:p>
      <w:r>
        <w:t>将不同岗位知识、工具权限、推理偏好和输出模板进行系统化建模。</w:t>
      </w:r>
    </w:p>
    <w:p>
      <w:r>
        <w:rPr>
          <w:b/>
        </w:rPr>
        <w:t>关键技术二：跨角色协同流水线</w:t>
      </w:r>
    </w:p>
    <w:p>
      <w:r>
        <w:t>支持“设计师 → 仿真工程师 → 理论物理学家 → 工艺工程师”的串联闭环。</w:t>
      </w:r>
    </w:p>
    <w:p>
      <w:r>
        <w:rPr>
          <w:b/>
        </w:rPr>
        <w:t>关键技术三：人机协同与自主协同并重</w:t>
      </w:r>
    </w:p>
    <w:p>
      <w:r>
        <w:t>既支持人类科学家主导，也支持 AI 在特定流程中自主推进。</w:t>
      </w:r>
    </w:p>
    <w:p>
      <w:pPr>
        <w:pStyle w:val="Heading3"/>
      </w:pPr>
      <w:r>
        <w:t>4. 核心指标</w:t>
      </w:r>
    </w:p>
    <w:tbl>
      <w:tblPr>
        <w:tblStyle w:val="TableGrid"/>
        <w:tblW w:type="auto" w:w="0"/>
        <w:tblLook w:firstColumn="1" w:firstRow="1" w:lastColumn="0" w:lastRow="0" w:noHBand="0" w:noVBand="1" w:val="04A0"/>
      </w:tblPr>
      <w:tblGrid>
        <w:gridCol w:w="4323"/>
        <w:gridCol w:w="4323"/>
      </w:tblGrid>
      <w:tr>
        <w:tc>
          <w:tcPr>
            <w:tcW w:type="dxa" w:w="4323"/>
          </w:tcPr>
          <w:p>
            <w:pPr>
              <w:spacing w:line="300" w:lineRule="auto"/>
              <w:ind w:firstLine="0"/>
            </w:pPr>
            <w:r>
              <w:rPr>
                <w:rFonts w:ascii="宋体" w:hAnsi="宋体" w:eastAsia="宋体"/>
                <w:b/>
                <w:sz w:val="21"/>
              </w:rPr>
              <w:t>指标</w:t>
            </w:r>
          </w:p>
        </w:tc>
        <w:tc>
          <w:tcPr>
            <w:tcW w:type="dxa" w:w="4323"/>
          </w:tcPr>
          <w:p>
            <w:pPr>
              <w:spacing w:line="300" w:lineRule="auto"/>
              <w:ind w:firstLine="0"/>
            </w:pPr>
            <w:r>
              <w:rPr>
                <w:rFonts w:ascii="宋体" w:hAnsi="宋体" w:eastAsia="宋体"/>
                <w:sz w:val="21"/>
              </w:rPr>
              <w:t>目标值</w:t>
            </w:r>
          </w:p>
        </w:tc>
      </w:tr>
      <w:tr>
        <w:tc>
          <w:tcPr>
            <w:tcW w:type="dxa" w:w="4323"/>
          </w:tcPr>
          <w:p>
            <w:pPr>
              <w:spacing w:line="300" w:lineRule="auto"/>
              <w:ind w:firstLine="0"/>
            </w:pPr>
            <w:r>
              <w:rPr>
                <w:rFonts w:ascii="宋体" w:hAnsi="宋体" w:eastAsia="宋体"/>
                <w:sz w:val="21"/>
              </w:rPr>
              <w:t>核心智能体数量</w:t>
            </w:r>
          </w:p>
        </w:tc>
        <w:tc>
          <w:tcPr>
            <w:tcW w:type="dxa" w:w="4323"/>
          </w:tcPr>
          <w:p>
            <w:pPr>
              <w:spacing w:line="300" w:lineRule="auto"/>
              <w:ind w:firstLine="0"/>
            </w:pPr>
            <w:r>
              <w:rPr>
                <w:rFonts w:ascii="宋体" w:hAnsi="宋体" w:eastAsia="宋体"/>
                <w:sz w:val="21"/>
              </w:rPr>
              <w:t>首期 6 个，逐步扩展到 10+</w:t>
            </w:r>
          </w:p>
        </w:tc>
      </w:tr>
      <w:tr>
        <w:tc>
          <w:tcPr>
            <w:tcW w:type="dxa" w:w="4323"/>
          </w:tcPr>
          <w:p>
            <w:pPr>
              <w:spacing w:line="300" w:lineRule="auto"/>
              <w:ind w:firstLine="0"/>
            </w:pPr>
            <w:r>
              <w:rPr>
                <w:rFonts w:ascii="宋体" w:hAnsi="宋体" w:eastAsia="宋体"/>
                <w:sz w:val="21"/>
              </w:rPr>
              <w:t>典型场景覆盖数</w:t>
            </w:r>
          </w:p>
        </w:tc>
        <w:tc>
          <w:tcPr>
            <w:tcW w:type="dxa" w:w="4323"/>
          </w:tcPr>
          <w:p>
            <w:pPr>
              <w:spacing w:line="300" w:lineRule="auto"/>
              <w:ind w:firstLine="0"/>
            </w:pPr>
            <w:r>
              <w:rPr>
                <w:rFonts w:ascii="宋体" w:hAnsi="宋体" w:eastAsia="宋体"/>
                <w:sz w:val="21"/>
              </w:rPr>
              <w:t>≥8 类</w:t>
            </w:r>
          </w:p>
        </w:tc>
      </w:tr>
      <w:tr>
        <w:tc>
          <w:tcPr>
            <w:tcW w:type="dxa" w:w="4323"/>
          </w:tcPr>
          <w:p>
            <w:pPr>
              <w:spacing w:line="300" w:lineRule="auto"/>
              <w:ind w:firstLine="0"/>
            </w:pPr>
            <w:r>
              <w:rPr>
                <w:rFonts w:ascii="宋体" w:hAnsi="宋体" w:eastAsia="宋体"/>
                <w:sz w:val="21"/>
              </w:rPr>
              <w:t>智能体可复用率</w:t>
            </w:r>
          </w:p>
        </w:tc>
        <w:tc>
          <w:tcPr>
            <w:tcW w:type="dxa" w:w="4323"/>
          </w:tcPr>
          <w:p>
            <w:pPr>
              <w:spacing w:line="300" w:lineRule="auto"/>
              <w:ind w:firstLine="0"/>
            </w:pPr>
            <w:r>
              <w:rPr>
                <w:rFonts w:ascii="宋体" w:hAnsi="宋体" w:eastAsia="宋体"/>
                <w:sz w:val="21"/>
              </w:rPr>
              <w:t>≥70%</w:t>
            </w:r>
          </w:p>
        </w:tc>
      </w:tr>
      <w:tr>
        <w:tc>
          <w:tcPr>
            <w:tcW w:type="dxa" w:w="4323"/>
          </w:tcPr>
          <w:p>
            <w:pPr>
              <w:spacing w:line="300" w:lineRule="auto"/>
              <w:ind w:firstLine="0"/>
            </w:pPr>
            <w:r>
              <w:rPr>
                <w:rFonts w:ascii="宋体" w:hAnsi="宋体" w:eastAsia="宋体"/>
                <w:sz w:val="21"/>
              </w:rPr>
              <w:t>跨角色闭环示范</w:t>
            </w:r>
          </w:p>
        </w:tc>
        <w:tc>
          <w:tcPr>
            <w:tcW w:type="dxa" w:w="4323"/>
          </w:tcPr>
          <w:p>
            <w:pPr>
              <w:spacing w:line="300" w:lineRule="auto"/>
              <w:ind w:firstLine="0"/>
            </w:pPr>
            <w:r>
              <w:rPr>
                <w:rFonts w:ascii="宋体" w:hAnsi="宋体" w:eastAsia="宋体"/>
                <w:sz w:val="21"/>
              </w:rPr>
              <w:t>≥3 条完整流程</w:t>
            </w:r>
          </w:p>
        </w:tc>
      </w:tr>
    </w:tbl>
    <w:p>
      <w:pPr>
        <w:pStyle w:val="Heading2"/>
      </w:pPr>
      <w:r>
        <w:t>子任务四：建设量子科技工具编排引擎与外部系统集成总线</w:t>
      </w:r>
    </w:p>
    <w:p>
      <w:pPr>
        <w:pStyle w:val="Heading3"/>
      </w:pPr>
      <w:r>
        <w:t>1. 任务背景与任务目标</w:t>
      </w:r>
    </w:p>
    <w:p>
      <w:r>
        <w:t>量智大脑要从“会说”走向“会做”，必须能够安全、可靠、标准化地调用设计、仿真、制造、测控、数据和情报系统。</w:t>
      </w:r>
    </w:p>
    <w:p>
      <w:r>
        <w:t>本任务目标是建设统一工具编排引擎，打通量子科技研发关键系统。</w:t>
      </w:r>
    </w:p>
    <w:p>
      <w:pPr>
        <w:pStyle w:val="Heading3"/>
      </w:pPr>
      <w:r>
        <w:t>2. 任务架构设计</w:t>
      </w:r>
    </w:p>
    <w:p>
      <w:pPr>
        <w:ind w:firstLine="0"/>
        <w:jc w:val="center"/>
      </w:pPr>
      <w:r>
        <w:drawing>
          <wp:inline xmlns:a="http://schemas.openxmlformats.org/drawingml/2006/main" xmlns:pic="http://schemas.openxmlformats.org/drawingml/2006/picture">
            <wp:extent cx="5760720" cy="3224554"/>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760720" cy="3224554"/>
                    </a:xfrm>
                    <a:prstGeom prst="rect"/>
                  </pic:spPr>
                </pic:pic>
              </a:graphicData>
            </a:graphic>
          </wp:inline>
        </w:drawing>
      </w:r>
    </w:p>
    <w:p>
      <w:pPr>
        <w:ind w:firstLine="0"/>
        <w:jc w:val="center"/>
      </w:pPr>
      <w:r>
        <w:t>图 5 子任务四：Hands 工具注册与外部系统映射图</w:t>
      </w:r>
    </w:p>
    <w:p>
      <w:r>
        <w:t>重点集成方向包括：</w:t>
      </w:r>
    </w:p>
    <w:p>
      <w:pPr>
        <w:pStyle w:val="ListBullet"/>
      </w:pPr>
      <w:r>
        <w:t>设计类工具：</w:t>
      </w:r>
      <w:r>
        <w:rPr>
          <w:rFonts w:ascii="Consolas" w:hAnsi="Consolas" w:eastAsia="Consolas"/>
        </w:rPr>
        <w:t>metal_*</w:t>
      </w:r>
      <w:r>
        <w:t>、</w:t>
      </w:r>
      <w:r>
        <w:rPr>
          <w:rFonts w:ascii="Consolas" w:hAnsi="Consolas" w:eastAsia="Consolas"/>
        </w:rPr>
        <w:t>kqc_*</w:t>
      </w:r>
      <w:r>
        <w:t>、</w:t>
      </w:r>
      <w:r>
        <w:rPr>
          <w:rFonts w:ascii="Consolas" w:hAnsi="Consolas" w:eastAsia="Consolas"/>
        </w:rPr>
        <w:t>qeda_*</w:t>
      </w:r>
    </w:p>
    <w:p>
      <w:pPr>
        <w:pStyle w:val="ListBullet"/>
      </w:pPr>
      <w:r>
        <w:t>仿真类工具：</w:t>
      </w:r>
      <w:r>
        <w:rPr>
          <w:rFonts w:ascii="Consolas" w:hAnsi="Consolas" w:eastAsia="Consolas"/>
        </w:rPr>
        <w:t>sim_*</w:t>
      </w:r>
      <w:r>
        <w:t>、</w:t>
      </w:r>
      <w:r>
        <w:rPr>
          <w:rFonts w:ascii="Consolas" w:hAnsi="Consolas" w:eastAsia="Consolas"/>
        </w:rPr>
        <w:t>metal_analyze_*</w:t>
      </w:r>
      <w:r>
        <w:t>、</w:t>
      </w:r>
      <w:r>
        <w:rPr>
          <w:rFonts w:ascii="Consolas" w:hAnsi="Consolas" w:eastAsia="Consolas"/>
        </w:rPr>
        <w:t>kqc_export_*</w:t>
      </w:r>
    </w:p>
    <w:p>
      <w:pPr>
        <w:pStyle w:val="ListBullet"/>
      </w:pPr>
      <w:r>
        <w:t>制造与设备类工具：</w:t>
      </w:r>
      <w:r>
        <w:rPr>
          <w:rFonts w:ascii="Consolas" w:hAnsi="Consolas" w:eastAsia="Consolas"/>
        </w:rPr>
        <w:t>mes_*</w:t>
      </w:r>
      <w:r>
        <w:t>、</w:t>
      </w:r>
      <w:r>
        <w:rPr>
          <w:rFonts w:ascii="Consolas" w:hAnsi="Consolas" w:eastAsia="Consolas"/>
        </w:rPr>
        <w:t>secs_*</w:t>
      </w:r>
      <w:r>
        <w:t>、</w:t>
      </w:r>
      <w:r>
        <w:rPr>
          <w:rFonts w:ascii="Consolas" w:hAnsi="Consolas" w:eastAsia="Consolas"/>
        </w:rPr>
        <w:t>chipmes_*</w:t>
      </w:r>
      <w:r>
        <w:t>、</w:t>
      </w:r>
      <w:r>
        <w:rPr>
          <w:rFonts w:ascii="Consolas" w:hAnsi="Consolas" w:eastAsia="Consolas"/>
        </w:rPr>
        <w:t>grafana_*</w:t>
      </w:r>
    </w:p>
    <w:p>
      <w:pPr>
        <w:pStyle w:val="ListBullet"/>
      </w:pPr>
      <w:r>
        <w:t>测控类工具：</w:t>
      </w:r>
      <w:r>
        <w:rPr>
          <w:rFonts w:ascii="Consolas" w:hAnsi="Consolas" w:eastAsia="Consolas"/>
        </w:rPr>
        <w:t>artiq_*</w:t>
      </w:r>
      <w:r>
        <w:t>、</w:t>
      </w:r>
      <w:r>
        <w:rPr>
          <w:rFonts w:ascii="Consolas" w:hAnsi="Consolas" w:eastAsia="Consolas"/>
        </w:rPr>
        <w:t>pulse_*</w:t>
      </w:r>
      <w:r>
        <w:t>、</w:t>
      </w:r>
      <w:r>
        <w:rPr>
          <w:rFonts w:ascii="Consolas" w:hAnsi="Consolas" w:eastAsia="Consolas"/>
        </w:rPr>
        <w:t>mitiq_*</w:t>
      </w:r>
    </w:p>
    <w:p>
      <w:pPr>
        <w:pStyle w:val="ListBullet"/>
      </w:pPr>
      <w:r>
        <w:t>数据类工具：</w:t>
      </w:r>
      <w:r>
        <w:rPr>
          <w:rFonts w:ascii="Consolas" w:hAnsi="Consolas" w:eastAsia="Consolas"/>
        </w:rPr>
        <w:t>warehouse_*</w:t>
      </w:r>
      <w:r>
        <w:t>、</w:t>
      </w:r>
      <w:r>
        <w:rPr>
          <w:rFonts w:ascii="Consolas" w:hAnsi="Consolas" w:eastAsia="Consolas"/>
        </w:rPr>
        <w:t>doris_*</w:t>
      </w:r>
      <w:r>
        <w:t>、</w:t>
      </w:r>
      <w:r>
        <w:rPr>
          <w:rFonts w:ascii="Consolas" w:hAnsi="Consolas" w:eastAsia="Consolas"/>
        </w:rPr>
        <w:t>qdata_*</w:t>
      </w:r>
      <w:r>
        <w:t>、</w:t>
      </w:r>
      <w:r>
        <w:rPr>
          <w:rFonts w:ascii="Consolas" w:hAnsi="Consolas" w:eastAsia="Consolas"/>
        </w:rPr>
        <w:t>seatunnel_*</w:t>
      </w:r>
      <w:r>
        <w:t>、</w:t>
      </w:r>
      <w:r>
        <w:rPr>
          <w:rFonts w:ascii="Consolas" w:hAnsi="Consolas" w:eastAsia="Consolas"/>
        </w:rPr>
        <w:t>qcodes_*</w:t>
      </w:r>
    </w:p>
    <w:p>
      <w:pPr>
        <w:pStyle w:val="ListBullet"/>
      </w:pPr>
      <w:r>
        <w:t>知识与情报类工具：</w:t>
      </w:r>
      <w:r>
        <w:rPr>
          <w:rFonts w:ascii="Consolas" w:hAnsi="Consolas" w:eastAsia="Consolas"/>
        </w:rPr>
        <w:t>knowledge_*</w:t>
      </w:r>
      <w:r>
        <w:t>、</w:t>
      </w:r>
      <w:r>
        <w:rPr>
          <w:rFonts w:ascii="Consolas" w:hAnsi="Consolas" w:eastAsia="Consolas"/>
        </w:rPr>
        <w:t>intel_*</w:t>
      </w:r>
      <w:r>
        <w:t>、</w:t>
      </w:r>
      <w:r>
        <w:rPr>
          <w:rFonts w:ascii="Consolas" w:hAnsi="Consolas" w:eastAsia="Consolas"/>
        </w:rPr>
        <w:t>library_*</w:t>
      </w:r>
    </w:p>
    <w:p>
      <w:pPr>
        <w:pStyle w:val="Heading3"/>
      </w:pPr>
      <w:r>
        <w:t>3. 关键技术 / 核心技术创新</w:t>
      </w:r>
    </w:p>
    <w:p>
      <w:r>
        <w:rPr>
          <w:b/>
        </w:rPr>
        <w:t>关键技术一：统一工具契约与标准化返回结构</w:t>
      </w:r>
    </w:p>
    <w:p>
      <w:r>
        <w:t>形成 AI 可调用、日志可记录、报告可复用的标准接口契约。</w:t>
      </w:r>
    </w:p>
    <w:p>
      <w:r>
        <w:rPr>
          <w:b/>
        </w:rPr>
        <w:t>关键技术二：异步调度与容错执行</w:t>
      </w:r>
    </w:p>
    <w:p>
      <w:r>
        <w:t>面向长任务、弱连接、工业系统高延迟场景构建异步执行和失败恢复能力。</w:t>
      </w:r>
    </w:p>
    <w:p>
      <w:r>
        <w:rPr>
          <w:b/>
        </w:rPr>
        <w:t>关键技术三：配置持久化与连接治理</w:t>
      </w:r>
    </w:p>
    <w:p>
      <w:r>
        <w:t>通过配置中心统一管理数据库、服务端点、凭证和连接参数，实现安全可控集成。</w:t>
      </w:r>
    </w:p>
    <w:p>
      <w:pPr>
        <w:pStyle w:val="Heading3"/>
      </w:pPr>
      <w:r>
        <w:t>4. 核心指标</w:t>
      </w:r>
    </w:p>
    <w:tbl>
      <w:tblPr>
        <w:tblStyle w:val="TableGrid"/>
        <w:tblW w:type="auto" w:w="0"/>
        <w:tblLook w:firstColumn="1" w:firstRow="1" w:lastColumn="0" w:lastRow="0" w:noHBand="0" w:noVBand="1" w:val="04A0"/>
      </w:tblPr>
      <w:tblGrid>
        <w:gridCol w:w="4323"/>
        <w:gridCol w:w="4323"/>
      </w:tblGrid>
      <w:tr>
        <w:tc>
          <w:tcPr>
            <w:tcW w:type="dxa" w:w="4323"/>
          </w:tcPr>
          <w:p>
            <w:pPr>
              <w:spacing w:line="300" w:lineRule="auto"/>
              <w:ind w:firstLine="0"/>
            </w:pPr>
            <w:r>
              <w:rPr>
                <w:rFonts w:ascii="宋体" w:hAnsi="宋体" w:eastAsia="宋体"/>
                <w:b/>
                <w:sz w:val="21"/>
              </w:rPr>
              <w:t>指标</w:t>
            </w:r>
          </w:p>
        </w:tc>
        <w:tc>
          <w:tcPr>
            <w:tcW w:type="dxa" w:w="4323"/>
          </w:tcPr>
          <w:p>
            <w:pPr>
              <w:spacing w:line="300" w:lineRule="auto"/>
              <w:ind w:firstLine="0"/>
            </w:pPr>
            <w:r>
              <w:rPr>
                <w:rFonts w:ascii="宋体" w:hAnsi="宋体" w:eastAsia="宋体"/>
                <w:sz w:val="21"/>
              </w:rPr>
              <w:t>目标值</w:t>
            </w:r>
          </w:p>
        </w:tc>
      </w:tr>
      <w:tr>
        <w:tc>
          <w:tcPr>
            <w:tcW w:type="dxa" w:w="4323"/>
          </w:tcPr>
          <w:p>
            <w:pPr>
              <w:spacing w:line="300" w:lineRule="auto"/>
              <w:ind w:firstLine="0"/>
            </w:pPr>
            <w:r>
              <w:rPr>
                <w:rFonts w:ascii="宋体" w:hAnsi="宋体" w:eastAsia="宋体"/>
                <w:sz w:val="21"/>
              </w:rPr>
              <w:t>工具接入数量</w:t>
            </w:r>
          </w:p>
        </w:tc>
        <w:tc>
          <w:tcPr>
            <w:tcW w:type="dxa" w:w="4323"/>
          </w:tcPr>
          <w:p>
            <w:pPr>
              <w:spacing w:line="300" w:lineRule="auto"/>
              <w:ind w:firstLine="0"/>
            </w:pPr>
            <w:r>
              <w:rPr>
                <w:rFonts w:ascii="宋体" w:hAnsi="宋体" w:eastAsia="宋体"/>
                <w:sz w:val="21"/>
              </w:rPr>
              <w:t>首期 30+，逐步扩展</w:t>
            </w:r>
          </w:p>
        </w:tc>
      </w:tr>
      <w:tr>
        <w:tc>
          <w:tcPr>
            <w:tcW w:type="dxa" w:w="4323"/>
          </w:tcPr>
          <w:p>
            <w:pPr>
              <w:spacing w:line="300" w:lineRule="auto"/>
              <w:ind w:firstLine="0"/>
            </w:pPr>
            <w:r>
              <w:rPr>
                <w:rFonts w:ascii="宋体" w:hAnsi="宋体" w:eastAsia="宋体"/>
                <w:sz w:val="21"/>
              </w:rPr>
              <w:t>外部系统连通率</w:t>
            </w:r>
          </w:p>
        </w:tc>
        <w:tc>
          <w:tcPr>
            <w:tcW w:type="dxa" w:w="4323"/>
          </w:tcPr>
          <w:p>
            <w:pPr>
              <w:spacing w:line="300" w:lineRule="auto"/>
              <w:ind w:firstLine="0"/>
            </w:pPr>
            <w:r>
              <w:rPr>
                <w:rFonts w:ascii="宋体" w:hAnsi="宋体" w:eastAsia="宋体"/>
                <w:sz w:val="21"/>
              </w:rPr>
              <w:t>≥95%</w:t>
            </w:r>
          </w:p>
        </w:tc>
      </w:tr>
      <w:tr>
        <w:tc>
          <w:tcPr>
            <w:tcW w:type="dxa" w:w="4323"/>
          </w:tcPr>
          <w:p>
            <w:pPr>
              <w:spacing w:line="300" w:lineRule="auto"/>
              <w:ind w:firstLine="0"/>
            </w:pPr>
            <w:r>
              <w:rPr>
                <w:rFonts w:ascii="宋体" w:hAnsi="宋体" w:eastAsia="宋体"/>
                <w:sz w:val="21"/>
              </w:rPr>
              <w:t>长任务执行成功率</w:t>
            </w:r>
          </w:p>
        </w:tc>
        <w:tc>
          <w:tcPr>
            <w:tcW w:type="dxa" w:w="4323"/>
          </w:tcPr>
          <w:p>
            <w:pPr>
              <w:spacing w:line="300" w:lineRule="auto"/>
              <w:ind w:firstLine="0"/>
            </w:pPr>
            <w:r>
              <w:rPr>
                <w:rFonts w:ascii="宋体" w:hAnsi="宋体" w:eastAsia="宋体"/>
                <w:sz w:val="21"/>
              </w:rPr>
              <w:t>≥85%</w:t>
            </w:r>
          </w:p>
        </w:tc>
      </w:tr>
      <w:tr>
        <w:tc>
          <w:tcPr>
            <w:tcW w:type="dxa" w:w="4323"/>
          </w:tcPr>
          <w:p>
            <w:pPr>
              <w:spacing w:line="300" w:lineRule="auto"/>
              <w:ind w:firstLine="0"/>
            </w:pPr>
            <w:r>
              <w:rPr>
                <w:rFonts w:ascii="宋体" w:hAnsi="宋体" w:eastAsia="宋体"/>
                <w:sz w:val="21"/>
              </w:rPr>
              <w:t>工具接口标准化率</w:t>
            </w:r>
          </w:p>
        </w:tc>
        <w:tc>
          <w:tcPr>
            <w:tcW w:type="dxa" w:w="4323"/>
          </w:tcPr>
          <w:p>
            <w:pPr>
              <w:spacing w:line="300" w:lineRule="auto"/>
              <w:ind w:firstLine="0"/>
            </w:pPr>
            <w:r>
              <w:rPr>
                <w:rFonts w:ascii="宋体" w:hAnsi="宋体" w:eastAsia="宋体"/>
                <w:sz w:val="21"/>
              </w:rPr>
              <w:t>100%</w:t>
            </w:r>
          </w:p>
        </w:tc>
      </w:tr>
    </w:tbl>
    <w:p>
      <w:pPr>
        <w:pStyle w:val="Heading2"/>
      </w:pPr>
      <w:r>
        <w:t>子任务五：建设量子科技知识图谱与数据中台</w:t>
      </w:r>
    </w:p>
    <w:p>
      <w:pPr>
        <w:pStyle w:val="Heading3"/>
      </w:pPr>
      <w:r>
        <w:t>1. 任务背景与任务目标</w:t>
      </w:r>
    </w:p>
    <w:p>
      <w:r>
        <w:t>量子科技的核心瓶颈之一不只是模型能力不足，更是数据和知识无法形成统一资产。</w:t>
      </w:r>
    </w:p>
    <w:p>
      <w:r>
        <w:t>本任务目标是建设覆盖文献、专利、设计、仿真、制造、设备、测控、应用的知识图谱与数据中台，为量智大脑持续进化提供“数据燃料”和“事实底座”。</w:t>
      </w:r>
    </w:p>
    <w:p>
      <w:pPr>
        <w:pStyle w:val="Heading3"/>
      </w:pPr>
      <w:r>
        <w:t>2. 任务架构设计</w:t>
      </w:r>
    </w:p>
    <w:p>
      <w:pPr>
        <w:ind w:firstLine="0"/>
        <w:jc w:val="center"/>
      </w:pPr>
      <w:r>
        <w:drawing>
          <wp:inline xmlns:a="http://schemas.openxmlformats.org/drawingml/2006/main" xmlns:pic="http://schemas.openxmlformats.org/drawingml/2006/picture">
            <wp:extent cx="5760720" cy="3224554"/>
            <wp:docPr id="6" name="Picture 6"/>
            <wp:cNvGraphicFramePr>
              <a:graphicFrameLocks noChangeAspect="1"/>
            </wp:cNvGraphicFramePr>
            <a:graphic>
              <a:graphicData uri="http://schemas.openxmlformats.org/drawingml/2006/picture">
                <pic:pic>
                  <pic:nvPicPr>
                    <pic:cNvPr id="0" name="figure_6.png"/>
                    <pic:cNvPicPr/>
                  </pic:nvPicPr>
                  <pic:blipFill>
                    <a:blip r:embed="rId16"/>
                    <a:stretch>
                      <a:fillRect/>
                    </a:stretch>
                  </pic:blipFill>
                  <pic:spPr>
                    <a:xfrm>
                      <a:off x="0" y="0"/>
                      <a:ext cx="5760720" cy="3224554"/>
                    </a:xfrm>
                    <a:prstGeom prst="rect"/>
                  </pic:spPr>
                </pic:pic>
              </a:graphicData>
            </a:graphic>
          </wp:inline>
        </w:drawing>
      </w:r>
    </w:p>
    <w:p>
      <w:pPr>
        <w:ind w:firstLine="0"/>
        <w:jc w:val="center"/>
      </w:pPr>
      <w:r>
        <w:t>图 6 子任务五：记忆—知识—情报数据通路图</w:t>
      </w:r>
    </w:p>
    <w:p>
      <w:r>
        <w:t>系统包括：</w:t>
      </w:r>
    </w:p>
    <w:p>
      <w:pPr>
        <w:pStyle w:val="ListBullet"/>
      </w:pPr>
      <w:r>
        <w:t>全生命周期数据归集层</w:t>
      </w:r>
    </w:p>
    <w:p>
      <w:pPr>
        <w:pStyle w:val="ListBullet"/>
      </w:pPr>
      <w:r>
        <w:t>数据治理与标准化层</w:t>
      </w:r>
    </w:p>
    <w:p>
      <w:pPr>
        <w:pStyle w:val="ListBullet"/>
      </w:pPr>
      <w:r>
        <w:t>项目记忆层</w:t>
      </w:r>
    </w:p>
    <w:p>
      <w:pPr>
        <w:pStyle w:val="ListBullet"/>
      </w:pPr>
      <w:r>
        <w:t>向量检索层</w:t>
      </w:r>
    </w:p>
    <w:p>
      <w:pPr>
        <w:pStyle w:val="ListBullet"/>
      </w:pPr>
      <w:r>
        <w:t>知识图谱构建层</w:t>
      </w:r>
    </w:p>
    <w:p>
      <w:pPr>
        <w:pStyle w:val="ListBullet"/>
      </w:pPr>
      <w:r>
        <w:t>情报抓取与摘要层</w:t>
      </w:r>
    </w:p>
    <w:p>
      <w:pPr>
        <w:pStyle w:val="ListBullet"/>
      </w:pPr>
      <w:r>
        <w:t>决策回传与报告生成层</w:t>
      </w:r>
    </w:p>
    <w:p>
      <w:pPr>
        <w:pStyle w:val="Heading3"/>
      </w:pPr>
      <w:r>
        <w:t>3. 关键技术 / 核心技术创新</w:t>
      </w:r>
    </w:p>
    <w:p>
      <w:r>
        <w:rPr>
          <w:b/>
        </w:rPr>
        <w:t>关键技术一：结构化数据与非结构化知识协同治理</w:t>
      </w:r>
    </w:p>
    <w:p>
      <w:r>
        <w:t>打通设计参数、设备时序、测试数据、实验日志、论文摘要等多类型数据。</w:t>
      </w:r>
    </w:p>
    <w:p>
      <w:r>
        <w:rPr>
          <w:b/>
        </w:rPr>
        <w:t>关键技术二：动态演进知识图谱</w:t>
      </w:r>
    </w:p>
    <w:p>
      <w:r>
        <w:t>不仅汇聚公开文献和专利，更将平台内部科研过程实时转化为知识节点和关系。</w:t>
      </w:r>
    </w:p>
    <w:p>
      <w:r>
        <w:rPr>
          <w:b/>
        </w:rPr>
        <w:t>关键技术三：数据到决策的闭环反馈</w:t>
      </w:r>
    </w:p>
    <w:p>
      <w:r>
        <w:t>使知识图谱不仅用于检索，也用于策略建议、工艺优化和实验推荐。</w:t>
      </w:r>
    </w:p>
    <w:p>
      <w:pPr>
        <w:pStyle w:val="Heading3"/>
      </w:pPr>
      <w:r>
        <w:t>4. 核心指标</w:t>
      </w:r>
    </w:p>
    <w:tbl>
      <w:tblPr>
        <w:tblStyle w:val="TableGrid"/>
        <w:tblW w:type="auto" w:w="0"/>
        <w:tblLook w:firstColumn="1" w:firstRow="1" w:lastColumn="0" w:lastRow="0" w:noHBand="0" w:noVBand="1" w:val="04A0"/>
      </w:tblPr>
      <w:tblGrid>
        <w:gridCol w:w="4323"/>
        <w:gridCol w:w="4323"/>
      </w:tblGrid>
      <w:tr>
        <w:tc>
          <w:tcPr>
            <w:tcW w:type="dxa" w:w="4323"/>
          </w:tcPr>
          <w:p>
            <w:pPr>
              <w:spacing w:line="300" w:lineRule="auto"/>
              <w:ind w:firstLine="0"/>
            </w:pPr>
            <w:r>
              <w:rPr>
                <w:rFonts w:ascii="宋体" w:hAnsi="宋体" w:eastAsia="宋体"/>
                <w:b/>
                <w:sz w:val="21"/>
              </w:rPr>
              <w:t>指标</w:t>
            </w:r>
          </w:p>
        </w:tc>
        <w:tc>
          <w:tcPr>
            <w:tcW w:type="dxa" w:w="4323"/>
          </w:tcPr>
          <w:p>
            <w:pPr>
              <w:spacing w:line="300" w:lineRule="auto"/>
              <w:ind w:firstLine="0"/>
            </w:pPr>
            <w:r>
              <w:rPr>
                <w:rFonts w:ascii="宋体" w:hAnsi="宋体" w:eastAsia="宋体"/>
                <w:sz w:val="21"/>
              </w:rPr>
              <w:t>目标值</w:t>
            </w:r>
          </w:p>
        </w:tc>
      </w:tr>
      <w:tr>
        <w:tc>
          <w:tcPr>
            <w:tcW w:type="dxa" w:w="4323"/>
          </w:tcPr>
          <w:p>
            <w:pPr>
              <w:spacing w:line="300" w:lineRule="auto"/>
              <w:ind w:firstLine="0"/>
            </w:pPr>
            <w:r>
              <w:rPr>
                <w:rFonts w:ascii="宋体" w:hAnsi="宋体" w:eastAsia="宋体"/>
                <w:sz w:val="21"/>
              </w:rPr>
              <w:t>知识图谱覆盖资产量</w:t>
            </w:r>
          </w:p>
        </w:tc>
        <w:tc>
          <w:tcPr>
            <w:tcW w:type="dxa" w:w="4323"/>
          </w:tcPr>
          <w:p>
            <w:pPr>
              <w:spacing w:line="300" w:lineRule="auto"/>
              <w:ind w:firstLine="0"/>
            </w:pPr>
            <w:r>
              <w:rPr>
                <w:rFonts w:ascii="宋体" w:hAnsi="宋体" w:eastAsia="宋体"/>
                <w:sz w:val="21"/>
              </w:rPr>
              <w:t>持续增长，首期完成核心资产接入</w:t>
            </w:r>
          </w:p>
        </w:tc>
      </w:tr>
      <w:tr>
        <w:tc>
          <w:tcPr>
            <w:tcW w:type="dxa" w:w="4323"/>
          </w:tcPr>
          <w:p>
            <w:pPr>
              <w:spacing w:line="300" w:lineRule="auto"/>
              <w:ind w:firstLine="0"/>
            </w:pPr>
            <w:r>
              <w:rPr>
                <w:rFonts w:ascii="宋体" w:hAnsi="宋体" w:eastAsia="宋体"/>
                <w:sz w:val="21"/>
              </w:rPr>
              <w:t>数据归集范围</w:t>
            </w:r>
          </w:p>
        </w:tc>
        <w:tc>
          <w:tcPr>
            <w:tcW w:type="dxa" w:w="4323"/>
          </w:tcPr>
          <w:p>
            <w:pPr>
              <w:spacing w:line="300" w:lineRule="auto"/>
              <w:ind w:firstLine="0"/>
            </w:pPr>
            <w:r>
              <w:rPr>
                <w:rFonts w:ascii="宋体" w:hAnsi="宋体" w:eastAsia="宋体"/>
                <w:sz w:val="21"/>
              </w:rPr>
              <w:t>覆盖设计-制造-测控主要环节</w:t>
            </w:r>
          </w:p>
        </w:tc>
      </w:tr>
      <w:tr>
        <w:tc>
          <w:tcPr>
            <w:tcW w:type="dxa" w:w="4323"/>
          </w:tcPr>
          <w:p>
            <w:pPr>
              <w:spacing w:line="300" w:lineRule="auto"/>
              <w:ind w:firstLine="0"/>
            </w:pPr>
            <w:r>
              <w:rPr>
                <w:rFonts w:ascii="宋体" w:hAnsi="宋体" w:eastAsia="宋体"/>
                <w:sz w:val="21"/>
              </w:rPr>
              <w:t>情报更新时效</w:t>
            </w:r>
          </w:p>
        </w:tc>
        <w:tc>
          <w:tcPr>
            <w:tcW w:type="dxa" w:w="4323"/>
          </w:tcPr>
          <w:p>
            <w:pPr>
              <w:spacing w:line="300" w:lineRule="auto"/>
              <w:ind w:firstLine="0"/>
            </w:pPr>
            <w:r>
              <w:rPr>
                <w:rFonts w:ascii="宋体" w:hAnsi="宋体" w:eastAsia="宋体"/>
                <w:sz w:val="21"/>
              </w:rPr>
              <w:t>日级更新</w:t>
            </w:r>
          </w:p>
        </w:tc>
      </w:tr>
      <w:tr>
        <w:tc>
          <w:tcPr>
            <w:tcW w:type="dxa" w:w="4323"/>
          </w:tcPr>
          <w:p>
            <w:pPr>
              <w:spacing w:line="300" w:lineRule="auto"/>
              <w:ind w:firstLine="0"/>
            </w:pPr>
            <w:r>
              <w:rPr>
                <w:rFonts w:ascii="宋体" w:hAnsi="宋体" w:eastAsia="宋体"/>
                <w:sz w:val="21"/>
              </w:rPr>
              <w:t>检索与引用准确性</w:t>
            </w:r>
          </w:p>
        </w:tc>
        <w:tc>
          <w:tcPr>
            <w:tcW w:type="dxa" w:w="4323"/>
          </w:tcPr>
          <w:p>
            <w:pPr>
              <w:spacing w:line="300" w:lineRule="auto"/>
              <w:ind w:firstLine="0"/>
            </w:pPr>
            <w:r>
              <w:rPr>
                <w:rFonts w:ascii="宋体" w:hAnsi="宋体" w:eastAsia="宋体"/>
                <w:sz w:val="21"/>
              </w:rPr>
              <w:t>持续提升并进入业务考核</w:t>
            </w:r>
          </w:p>
        </w:tc>
      </w:tr>
    </w:tbl>
    <w:p>
      <w:pPr>
        <w:pStyle w:val="Heading2"/>
      </w:pPr>
      <w:r>
        <w:t>子任务六：建设自主科研闭环引擎与平台化输出体系</w:t>
      </w:r>
    </w:p>
    <w:p>
      <w:pPr>
        <w:pStyle w:val="Heading3"/>
      </w:pPr>
      <w:r>
        <w:t>1. 任务背景与任务目标</w:t>
      </w:r>
    </w:p>
    <w:p>
      <w:r>
        <w:t>量智大脑的终极目标不是停留在“AI 助手”，而是逐步形成自主科研能力。</w:t>
      </w:r>
    </w:p>
    <w:p>
      <w:r>
        <w:t>本任务目标是建设 Heartbeat、自主任务调度、策略引擎、Skills 市场和 Sidecar 领域服务体系，推动量智大脑从对话系统升级为可持续运行的自主科研引擎。</w:t>
      </w:r>
    </w:p>
    <w:p>
      <w:pPr>
        <w:pStyle w:val="Heading3"/>
      </w:pPr>
      <w:r>
        <w:t>2. 任务架构设计</w:t>
      </w:r>
    </w:p>
    <w:p>
      <w:pPr>
        <w:ind w:firstLine="0"/>
        <w:jc w:val="center"/>
      </w:pPr>
      <w:r>
        <w:drawing>
          <wp:inline xmlns:a="http://schemas.openxmlformats.org/drawingml/2006/main" xmlns:pic="http://schemas.openxmlformats.org/drawingml/2006/picture">
            <wp:extent cx="5760720" cy="3224554"/>
            <wp:docPr id="7" name="Picture 7"/>
            <wp:cNvGraphicFramePr>
              <a:graphicFrameLocks noChangeAspect="1"/>
            </wp:cNvGraphicFramePr>
            <a:graphic>
              <a:graphicData uri="http://schemas.openxmlformats.org/drawingml/2006/picture">
                <pic:pic>
                  <pic:nvPicPr>
                    <pic:cNvPr id="0" name="figure_7.png"/>
                    <pic:cNvPicPr/>
                  </pic:nvPicPr>
                  <pic:blipFill>
                    <a:blip r:embed="rId17"/>
                    <a:stretch>
                      <a:fillRect/>
                    </a:stretch>
                  </pic:blipFill>
                  <pic:spPr>
                    <a:xfrm>
                      <a:off x="0" y="0"/>
                      <a:ext cx="5760720" cy="3224554"/>
                    </a:xfrm>
                    <a:prstGeom prst="rect"/>
                  </pic:spPr>
                </pic:pic>
              </a:graphicData>
            </a:graphic>
          </wp:inline>
        </w:drawing>
      </w:r>
    </w:p>
    <w:p>
      <w:pPr>
        <w:ind w:firstLine="0"/>
        <w:jc w:val="center"/>
      </w:pPr>
      <w:r>
        <w:t>图 7 子任务六：Heartbeat + Skills + Sidecar 部署与依赖关系图</w:t>
      </w:r>
    </w:p>
    <w:p>
      <w:r>
        <w:t>子系统包括：</w:t>
      </w:r>
    </w:p>
    <w:p>
      <w:pPr>
        <w:pStyle w:val="ListBullet"/>
      </w:pPr>
      <w:r>
        <w:t>Heartbeat 后台任务引擎</w:t>
      </w:r>
    </w:p>
    <w:p>
      <w:pPr>
        <w:pStyle w:val="ListBullet"/>
      </w:pPr>
      <w:r>
        <w:t>策略引擎与反馈优化机制</w:t>
      </w:r>
    </w:p>
    <w:p>
      <w:pPr>
        <w:pStyle w:val="ListBullet"/>
      </w:pPr>
      <w:r>
        <w:t>Skills 能力包与知识包体系</w:t>
      </w:r>
    </w:p>
    <w:p>
      <w:pPr>
        <w:pStyle w:val="ListBullet"/>
      </w:pPr>
      <w:r>
        <w:t>Sidecar 领域服务</w:t>
      </w:r>
    </w:p>
    <w:p>
      <w:pPr>
        <w:pStyle w:val="ListBullet"/>
      </w:pPr>
      <w:r>
        <w:t>平台化 API 输出体系</w:t>
      </w:r>
    </w:p>
    <w:p>
      <w:pPr>
        <w:pStyle w:val="Heading3"/>
      </w:pPr>
      <w:r>
        <w:t>3. 关键技术 / 核心技术创新</w:t>
      </w:r>
    </w:p>
    <w:p>
      <w:r>
        <w:rPr>
          <w:b/>
        </w:rPr>
        <w:t>关键技术一：后台自主任务与交互式任务解耦</w:t>
      </w:r>
    </w:p>
    <w:p>
      <w:r>
        <w:t>支持情报跟踪、健康巡检、知识更新、自动报告生成等任务持续运行。</w:t>
      </w:r>
    </w:p>
    <w:p>
      <w:r>
        <w:rPr>
          <w:b/>
        </w:rPr>
        <w:t>关键技术二：能力包化与标准化输出</w:t>
      </w:r>
    </w:p>
    <w:p>
      <w:r>
        <w:t>把智能体经验、规则、模板和流程沉淀为可交付、可复用、可复制的能力包。</w:t>
      </w:r>
    </w:p>
    <w:p>
      <w:r>
        <w:rPr>
          <w:b/>
        </w:rPr>
        <w:t>关键技术三：面向自主科研的闭环框架</w:t>
      </w:r>
    </w:p>
    <w:p>
      <w:r>
        <w:t>逐步实现“问题提出—任务分解—工具调用—结果分析—知识沉淀—下一步建议”闭环。</w:t>
      </w:r>
    </w:p>
    <w:p>
      <w:pPr>
        <w:pStyle w:val="Heading3"/>
      </w:pPr>
      <w:r>
        <w:t>4. 核心指标</w:t>
      </w:r>
    </w:p>
    <w:tbl>
      <w:tblPr>
        <w:tblStyle w:val="TableGrid"/>
        <w:tblW w:type="auto" w:w="0"/>
        <w:tblLook w:firstColumn="1" w:firstRow="1" w:lastColumn="0" w:lastRow="0" w:noHBand="0" w:noVBand="1" w:val="04A0"/>
      </w:tblPr>
      <w:tblGrid>
        <w:gridCol w:w="4323"/>
        <w:gridCol w:w="4323"/>
      </w:tblGrid>
      <w:tr>
        <w:tc>
          <w:tcPr>
            <w:tcW w:type="dxa" w:w="4323"/>
          </w:tcPr>
          <w:p>
            <w:pPr>
              <w:spacing w:line="300" w:lineRule="auto"/>
              <w:ind w:firstLine="0"/>
            </w:pPr>
            <w:r>
              <w:rPr>
                <w:rFonts w:ascii="宋体" w:hAnsi="宋体" w:eastAsia="宋体"/>
                <w:b/>
                <w:sz w:val="21"/>
              </w:rPr>
              <w:t>指标</w:t>
            </w:r>
          </w:p>
        </w:tc>
        <w:tc>
          <w:tcPr>
            <w:tcW w:type="dxa" w:w="4323"/>
          </w:tcPr>
          <w:p>
            <w:pPr>
              <w:spacing w:line="300" w:lineRule="auto"/>
              <w:ind w:firstLine="0"/>
            </w:pPr>
            <w:r>
              <w:rPr>
                <w:rFonts w:ascii="宋体" w:hAnsi="宋体" w:eastAsia="宋体"/>
                <w:sz w:val="21"/>
              </w:rPr>
              <w:t>目标值</w:t>
            </w:r>
          </w:p>
        </w:tc>
      </w:tr>
      <w:tr>
        <w:tc>
          <w:tcPr>
            <w:tcW w:type="dxa" w:w="4323"/>
          </w:tcPr>
          <w:p>
            <w:pPr>
              <w:spacing w:line="300" w:lineRule="auto"/>
              <w:ind w:firstLine="0"/>
            </w:pPr>
            <w:r>
              <w:rPr>
                <w:rFonts w:ascii="宋体" w:hAnsi="宋体" w:eastAsia="宋体"/>
                <w:sz w:val="21"/>
              </w:rPr>
              <w:t>后台任务稳定性</w:t>
            </w:r>
          </w:p>
        </w:tc>
        <w:tc>
          <w:tcPr>
            <w:tcW w:type="dxa" w:w="4323"/>
          </w:tcPr>
          <w:p>
            <w:pPr>
              <w:spacing w:line="300" w:lineRule="auto"/>
              <w:ind w:firstLine="0"/>
            </w:pPr>
            <w:r>
              <w:rPr>
                <w:rFonts w:ascii="宋体" w:hAnsi="宋体" w:eastAsia="宋体"/>
                <w:sz w:val="21"/>
              </w:rPr>
              <w:t>长期稳定运行</w:t>
            </w:r>
          </w:p>
        </w:tc>
      </w:tr>
      <w:tr>
        <w:tc>
          <w:tcPr>
            <w:tcW w:type="dxa" w:w="4323"/>
          </w:tcPr>
          <w:p>
            <w:pPr>
              <w:spacing w:line="300" w:lineRule="auto"/>
              <w:ind w:firstLine="0"/>
            </w:pPr>
            <w:r>
              <w:rPr>
                <w:rFonts w:ascii="宋体" w:hAnsi="宋体" w:eastAsia="宋体"/>
                <w:sz w:val="21"/>
              </w:rPr>
              <w:t>技能包数量</w:t>
            </w:r>
          </w:p>
        </w:tc>
        <w:tc>
          <w:tcPr>
            <w:tcW w:type="dxa" w:w="4323"/>
          </w:tcPr>
          <w:p>
            <w:pPr>
              <w:spacing w:line="300" w:lineRule="auto"/>
              <w:ind w:firstLine="0"/>
            </w:pPr>
            <w:r>
              <w:rPr>
                <w:rFonts w:ascii="宋体" w:hAnsi="宋体" w:eastAsia="宋体"/>
                <w:sz w:val="21"/>
              </w:rPr>
              <w:t>持续增长</w:t>
            </w:r>
          </w:p>
        </w:tc>
      </w:tr>
      <w:tr>
        <w:tc>
          <w:tcPr>
            <w:tcW w:type="dxa" w:w="4323"/>
          </w:tcPr>
          <w:p>
            <w:pPr>
              <w:spacing w:line="300" w:lineRule="auto"/>
              <w:ind w:firstLine="0"/>
            </w:pPr>
            <w:r>
              <w:rPr>
                <w:rFonts w:ascii="宋体" w:hAnsi="宋体" w:eastAsia="宋体"/>
                <w:sz w:val="21"/>
              </w:rPr>
              <w:t>自主闭环示范任务数</w:t>
            </w:r>
          </w:p>
        </w:tc>
        <w:tc>
          <w:tcPr>
            <w:tcW w:type="dxa" w:w="4323"/>
          </w:tcPr>
          <w:p>
            <w:pPr>
              <w:spacing w:line="300" w:lineRule="auto"/>
              <w:ind w:firstLine="0"/>
            </w:pPr>
            <w:r>
              <w:rPr>
                <w:rFonts w:ascii="宋体" w:hAnsi="宋体" w:eastAsia="宋体"/>
                <w:sz w:val="21"/>
              </w:rPr>
              <w:t>首期 2-3 类</w:t>
            </w:r>
          </w:p>
        </w:tc>
      </w:tr>
      <w:tr>
        <w:tc>
          <w:tcPr>
            <w:tcW w:type="dxa" w:w="4323"/>
          </w:tcPr>
          <w:p>
            <w:pPr>
              <w:spacing w:line="300" w:lineRule="auto"/>
              <w:ind w:firstLine="0"/>
            </w:pPr>
            <w:r>
              <w:rPr>
                <w:rFonts w:ascii="宋体" w:hAnsi="宋体" w:eastAsia="宋体"/>
                <w:sz w:val="21"/>
              </w:rPr>
              <w:t>对外输出接口数量</w:t>
            </w:r>
          </w:p>
        </w:tc>
        <w:tc>
          <w:tcPr>
            <w:tcW w:type="dxa" w:w="4323"/>
          </w:tcPr>
          <w:p>
            <w:pPr>
              <w:spacing w:line="300" w:lineRule="auto"/>
              <w:ind w:firstLine="0"/>
            </w:pPr>
            <w:r>
              <w:rPr>
                <w:rFonts w:ascii="宋体" w:hAnsi="宋体" w:eastAsia="宋体"/>
                <w:sz w:val="21"/>
              </w:rPr>
              <w:t>可支撑中心其他平台调用</w:t>
            </w:r>
          </w:p>
        </w:tc>
      </w:tr>
    </w:tbl>
    <w:p>
      <w:r>
        <w:br w:type="page"/>
      </w:r>
    </w:p>
    <w:p>
      <w:pPr>
        <w:pStyle w:val="Heading1"/>
      </w:pPr>
      <w:r>
        <w:t>五、团队建设</w:t>
      </w:r>
    </w:p>
    <w:p>
      <w:pPr>
        <w:pStyle w:val="Heading2"/>
      </w:pPr>
      <w:r>
        <w:t>（一）团队建设目标</w:t>
      </w:r>
    </w:p>
    <w:p>
      <w:r>
        <w:t>围绕量智大脑建设，组建一支覆盖 AI、量子科技、工业软件、数据治理、产品平台、安全合规和科研管理的复合型团队，形成“平台架构 + 领域专家 + 工程实现 + 数据治理 + 运行保障”协同体系。</w:t>
      </w:r>
    </w:p>
    <w:p>
      <w:pPr>
        <w:pStyle w:val="Heading2"/>
      </w:pPr>
      <w:r>
        <w:t>（二）建议组织架构</w:t>
      </w:r>
    </w:p>
    <w:p>
      <w:r>
        <w:t>建议设置以下团队：</w:t>
      </w:r>
    </w:p>
    <w:p>
      <w:pPr>
        <w:pStyle w:val="ListBullet"/>
      </w:pPr>
      <w:r>
        <w:t>平台架构与中间件组</w:t>
      </w:r>
    </w:p>
    <w:p>
      <w:pPr>
        <w:pStyle w:val="ListBullet"/>
      </w:pPr>
      <w:r>
        <w:t>模型与智能体组</w:t>
      </w:r>
    </w:p>
    <w:p>
      <w:pPr>
        <w:pStyle w:val="ListBullet"/>
      </w:pPr>
      <w:r>
        <w:t>工具集成与工业接口组</w:t>
      </w:r>
    </w:p>
    <w:p>
      <w:pPr>
        <w:pStyle w:val="ListBullet"/>
      </w:pPr>
      <w:r>
        <w:t>数据中台与知识工程组</w:t>
      </w:r>
    </w:p>
    <w:p>
      <w:pPr>
        <w:pStyle w:val="ListBullet"/>
      </w:pPr>
      <w:r>
        <w:t>客户端与产品体验组</w:t>
      </w:r>
    </w:p>
    <w:p>
      <w:pPr>
        <w:pStyle w:val="ListBullet"/>
      </w:pPr>
      <w:r>
        <w:t>测试验证与运维保障组</w:t>
      </w:r>
    </w:p>
    <w:p>
      <w:pPr>
        <w:pStyle w:val="ListBullet"/>
      </w:pPr>
      <w:r>
        <w:t>领域专家委员会（设计、材料、制造、测控、应用）</w:t>
      </w:r>
    </w:p>
    <w:p>
      <w:pPr>
        <w:pStyle w:val="ListBullet"/>
      </w:pPr>
      <w:r>
        <w:t>PMO 与标准化管理组</w:t>
      </w:r>
    </w:p>
    <w:p>
      <w:pPr>
        <w:pStyle w:val="Heading2"/>
      </w:pPr>
      <w:r>
        <w:t>（三）保障机制</w:t>
      </w:r>
    </w:p>
    <w:p>
      <w:pPr>
        <w:pStyle w:val="ListNumber"/>
      </w:pPr>
      <w:r>
        <w:rPr>
          <w:b/>
        </w:rPr>
        <w:t>技术保障机制。</w:t>
      </w:r>
      <w:r>
        <w:t xml:space="preserve"> 建立架构评审、接口评审、安全评审、模型评审和里程碑验收机制。</w:t>
      </w:r>
    </w:p>
    <w:p>
      <w:pPr>
        <w:pStyle w:val="ListNumber"/>
      </w:pPr>
      <w:r>
        <w:rPr>
          <w:b/>
        </w:rPr>
        <w:t>数据保障机制。</w:t>
      </w:r>
      <w:r>
        <w:t xml:space="preserve"> 建立数据采集标准、权限分级、脱敏规则和知识治理流程。</w:t>
      </w:r>
    </w:p>
    <w:p>
      <w:pPr>
        <w:pStyle w:val="ListNumber"/>
      </w:pPr>
      <w:r>
        <w:rPr>
          <w:b/>
        </w:rPr>
        <w:t>工程保障机制。</w:t>
      </w:r>
      <w:r>
        <w:t xml:space="preserve"> 建立健康检查、回归测试、容量评估、变更审计和发布管理机制。</w:t>
      </w:r>
    </w:p>
    <w:p>
      <w:pPr>
        <w:pStyle w:val="ListNumber"/>
      </w:pPr>
      <w:r>
        <w:rPr>
          <w:b/>
        </w:rPr>
        <w:t>协同保障机制。</w:t>
      </w:r>
      <w:r>
        <w:t xml:space="preserve"> 通过 PMO 和跨平台协调机制保障量智大脑与其他平台协同推进。</w:t>
      </w:r>
    </w:p>
    <w:p>
      <w:pPr>
        <w:pStyle w:val="ListNumber"/>
      </w:pPr>
      <w:r>
        <w:rPr>
          <w:b/>
        </w:rPr>
        <w:t>专家保障机制。</w:t>
      </w:r>
      <w:r>
        <w:t xml:space="preserve"> 建立高水平专家咨询委员会，定期评估技术路线与建设成果。</w:t>
      </w:r>
    </w:p>
    <w:p>
      <w:pPr>
        <w:pStyle w:val="Heading2"/>
      </w:pPr>
      <w:r>
        <w:t>（四）建设可行性说明</w:t>
      </w:r>
    </w:p>
    <w:p>
      <w:r>
        <w:t>现有 QuantaMind 项目已经完成了中台雏形验证，说明量智大脑具备明确的技术抓手和现实基础；同时，量智大脑采用模块化、可演进、开源可控技术路线，便于在建设期内按照“先原型、再平台、后体系、终闭环”的路径稳步推进，具备较高建设可行性。</w:t>
      </w:r>
    </w:p>
    <w:p>
      <w:r>
        <w:br w:type="page"/>
      </w:r>
    </w:p>
    <w:p>
      <w:pPr>
        <w:pStyle w:val="Heading1"/>
      </w:pPr>
      <w:r>
        <w:t>六、预期成果（三年、五年、十年）</w:t>
      </w:r>
    </w:p>
    <w:p>
      <w:pPr>
        <w:pStyle w:val="Heading2"/>
      </w:pPr>
      <w:r>
        <w:t>（一）三年预期成果</w:t>
      </w:r>
    </w:p>
    <w:p>
      <w:pPr>
        <w:pStyle w:val="ListBullet"/>
      </w:pPr>
      <w:r>
        <w:t>建成量智大脑 V1.0 平台，形成统一入口、统一中枢、统一工具总线和知识记忆底座。</w:t>
      </w:r>
    </w:p>
    <w:p>
      <w:pPr>
        <w:pStyle w:val="ListBullet"/>
      </w:pPr>
      <w:r>
        <w:t>发布首批量子科技专用智能体与知识图谱 V1.0。</w:t>
      </w:r>
    </w:p>
    <w:p>
      <w:pPr>
        <w:pStyle w:val="ListBullet"/>
      </w:pPr>
      <w:r>
        <w:t>形成若干具有代表性的 AI 赋能示范场景，包括设计优化、情报跟踪、数据分析、工艺辅助和自动报告。</w:t>
      </w:r>
    </w:p>
    <w:p>
      <w:pPr>
        <w:pStyle w:val="ListBullet"/>
      </w:pPr>
      <w:r>
        <w:t>形成技术报告、接口规范、模型资产、知识资产和初步标准化成果。</w:t>
      </w:r>
    </w:p>
    <w:p>
      <w:pPr>
        <w:pStyle w:val="Heading2"/>
      </w:pPr>
      <w:r>
        <w:t>（二）五年预期成果</w:t>
      </w:r>
    </w:p>
    <w:p>
      <w:pPr>
        <w:pStyle w:val="ListBullet"/>
      </w:pPr>
      <w:r>
        <w:t>建成量智大脑 V2.0 平台，形成混合专家、多智能体协同和跨平台 API 能力。</w:t>
      </w:r>
    </w:p>
    <w:p>
      <w:pPr>
        <w:pStyle w:val="ListBullet"/>
      </w:pPr>
      <w:r>
        <w:t>AI 赋能覆盖研发中心重点业务环节超过 50%。</w:t>
      </w:r>
    </w:p>
    <w:p>
      <w:pPr>
        <w:pStyle w:val="ListBullet"/>
      </w:pPr>
      <w:r>
        <w:t>形成面向量子科技自主科研的知识图谱与数据中台体系。</w:t>
      </w:r>
    </w:p>
    <w:p>
      <w:pPr>
        <w:pStyle w:val="ListBullet"/>
      </w:pPr>
      <w:r>
        <w:t>实现若干关键软件或关键环节国产化替代赋能。</w:t>
      </w:r>
    </w:p>
    <w:p>
      <w:pPr>
        <w:pStyle w:val="ListBullet"/>
      </w:pPr>
      <w:r>
        <w:t>输出平台标准、白皮书、专利和可复制解决方案。</w:t>
      </w:r>
    </w:p>
    <w:p>
      <w:pPr>
        <w:pStyle w:val="Heading2"/>
      </w:pPr>
      <w:r>
        <w:t>（三）十年预期成果</w:t>
      </w:r>
    </w:p>
    <w:p>
      <w:pPr>
        <w:pStyle w:val="ListBullet"/>
      </w:pPr>
      <w:r>
        <w:t>建成国际有影响力的量子科技自主科研 AI 中台。</w:t>
      </w:r>
    </w:p>
    <w:p>
      <w:pPr>
        <w:pStyle w:val="ListBullet"/>
      </w:pPr>
      <w:r>
        <w:t>形成面向量子科研智能编排、数据组织、工具接口和科研闭环的标准体系。</w:t>
      </w:r>
    </w:p>
    <w:p>
      <w:pPr>
        <w:pStyle w:val="ListBullet"/>
      </w:pPr>
      <w:r>
        <w:t>在部分任务上实现 AI 自主承担科研子任务与持续产出成果。</w:t>
      </w:r>
    </w:p>
    <w:p>
      <w:pPr>
        <w:pStyle w:val="ListBullet"/>
      </w:pPr>
      <w:r>
        <w:t>建成围绕量智大脑的模型、工具、知识、数据和应用生态。</w:t>
      </w:r>
    </w:p>
    <w:p>
      <w:pPr>
        <w:pStyle w:val="Heading2"/>
      </w:pPr>
      <w:r>
        <w:t>（四）标志性成果设想</w:t>
      </w:r>
    </w:p>
    <w:p>
      <w:pPr>
        <w:pStyle w:val="ListNumber"/>
      </w:pPr>
      <w:r>
        <w:t>形成国内领先的量子科技智能体矩阵。</w:t>
      </w:r>
    </w:p>
    <w:p>
      <w:pPr>
        <w:pStyle w:val="ListNumber"/>
      </w:pPr>
      <w:r>
        <w:t>形成覆盖设计、制造、测控、应用的量子科技知识图谱。</w:t>
      </w:r>
    </w:p>
    <w:p>
      <w:pPr>
        <w:pStyle w:val="ListNumber"/>
      </w:pPr>
      <w:r>
        <w:t>形成量子科技工具调用标准与智能编排规范。</w:t>
      </w:r>
    </w:p>
    <w:p>
      <w:pPr>
        <w:pStyle w:val="ListNumber"/>
      </w:pPr>
      <w:r>
        <w:t>形成自主科研 AI 闭环示范案例。</w:t>
      </w:r>
    </w:p>
    <w:p>
      <w:pPr>
        <w:pStyle w:val="ListNumber"/>
      </w:pPr>
      <w:r>
        <w:t>形成支撑中心全局运行的统一智能底座。</w:t>
      </w:r>
    </w:p>
    <w:p>
      <w:pPr>
        <w:pStyle w:val="Heading1"/>
      </w:pPr>
      <w:r>
        <w:t>附录 A：插图清单</w:t>
      </w:r>
    </w:p>
    <w:p>
      <w:pPr>
        <w:pStyle w:val="ListNumber"/>
      </w:pPr>
      <w:r>
        <w:rPr>
          <w:b/>
        </w:rPr>
        <w:t>图 1</w:t>
      </w:r>
      <w:r>
        <w:t xml:space="preserve"> 量智大脑平台技术体系架构图</w:t>
      </w:r>
    </w:p>
    <w:p>
      <w:pPr>
        <w:pStyle w:val="ListNumber"/>
      </w:pPr>
      <w:r>
        <w:rPr>
          <w:b/>
        </w:rPr>
        <w:t>图 2</w:t>
      </w:r>
      <w:r>
        <w:t xml:space="preserve"> Gateway 与客户端接入架构图</w:t>
      </w:r>
    </w:p>
    <w:p>
      <w:pPr>
        <w:pStyle w:val="ListNumber"/>
      </w:pPr>
      <w:r>
        <w:rPr>
          <w:b/>
        </w:rPr>
        <w:t>图 3</w:t>
      </w:r>
      <w:r>
        <w:t xml:space="preserve"> Brain 与工具循环示意图</w:t>
      </w:r>
    </w:p>
    <w:p>
      <w:pPr>
        <w:pStyle w:val="ListNumber"/>
      </w:pPr>
      <w:r>
        <w:rPr>
          <w:b/>
        </w:rPr>
        <w:t>图 4</w:t>
      </w:r>
      <w:r>
        <w:t xml:space="preserve"> 多智能体路由与流水线结构图</w:t>
      </w:r>
    </w:p>
    <w:p>
      <w:pPr>
        <w:pStyle w:val="ListNumber"/>
      </w:pPr>
      <w:r>
        <w:rPr>
          <w:b/>
        </w:rPr>
        <w:t>图 5</w:t>
      </w:r>
      <w:r>
        <w:t xml:space="preserve"> Hands 工具注册与外部系统映射图</w:t>
      </w:r>
    </w:p>
    <w:p>
      <w:pPr>
        <w:pStyle w:val="ListNumber"/>
      </w:pPr>
      <w:r>
        <w:rPr>
          <w:b/>
        </w:rPr>
        <w:t>图 6</w:t>
      </w:r>
      <w:r>
        <w:t xml:space="preserve"> 记忆—知识—情报数据通路图</w:t>
      </w:r>
    </w:p>
    <w:p>
      <w:pPr>
        <w:pStyle w:val="ListNumber"/>
      </w:pPr>
      <w:r>
        <w:rPr>
          <w:b/>
        </w:rPr>
        <w:t>图 7</w:t>
      </w:r>
      <w:r>
        <w:t xml:space="preserve"> Heartbeat + Skills + Sidecar 部署关系图</w:t>
      </w:r>
    </w:p>
    <w:p>
      <w:pPr>
        <w:pStyle w:val="Heading1"/>
      </w:pPr>
      <w:r>
        <w:t>附录 B：与现有项目实现的对照索引（便于评审理解“现有基础”）</w:t>
      </w:r>
    </w:p>
    <w:tbl>
      <w:tblPr>
        <w:tblStyle w:val="TableGrid"/>
        <w:tblW w:type="auto" w:w="0"/>
        <w:tblLook w:firstColumn="1" w:firstRow="1" w:lastColumn="0" w:lastRow="0" w:noHBand="0" w:noVBand="1" w:val="04A0"/>
      </w:tblPr>
      <w:tblGrid>
        <w:gridCol w:w="4323"/>
        <w:gridCol w:w="4323"/>
      </w:tblGrid>
      <w:tr>
        <w:tc>
          <w:tcPr>
            <w:tcW w:type="dxa" w:w="4323"/>
          </w:tcPr>
          <w:p>
            <w:pPr>
              <w:spacing w:line="300" w:lineRule="auto"/>
              <w:ind w:firstLine="0"/>
            </w:pPr>
            <w:r>
              <w:rPr>
                <w:rFonts w:ascii="宋体" w:hAnsi="宋体" w:eastAsia="宋体"/>
                <w:b/>
                <w:sz w:val="21"/>
              </w:rPr>
              <w:t>模块</w:t>
            </w:r>
          </w:p>
        </w:tc>
        <w:tc>
          <w:tcPr>
            <w:tcW w:type="dxa" w:w="4323"/>
          </w:tcPr>
          <w:p>
            <w:pPr>
              <w:spacing w:line="300" w:lineRule="auto"/>
              <w:ind w:firstLine="0"/>
            </w:pPr>
            <w:r>
              <w:rPr>
                <w:rFonts w:ascii="宋体" w:hAnsi="宋体" w:eastAsia="宋体"/>
                <w:sz w:val="21"/>
              </w:rPr>
              <w:t>典型路径</w:t>
            </w:r>
          </w:p>
        </w:tc>
      </w:tr>
      <w:tr>
        <w:tc>
          <w:tcPr>
            <w:tcW w:type="dxa" w:w="4323"/>
          </w:tcPr>
          <w:p>
            <w:pPr>
              <w:spacing w:line="300" w:lineRule="auto"/>
              <w:ind w:firstLine="0"/>
            </w:pPr>
            <w:r>
              <w:rPr>
                <w:rFonts w:ascii="宋体" w:hAnsi="宋体" w:eastAsia="宋体"/>
                <w:sz w:val="21"/>
              </w:rPr>
              <w:t>配置与持久化</w:t>
            </w:r>
          </w:p>
        </w:tc>
        <w:tc>
          <w:tcPr>
            <w:tcW w:type="dxa" w:w="4323"/>
          </w:tcPr>
          <w:p>
            <w:pPr>
              <w:spacing w:line="300" w:lineRule="auto"/>
              <w:ind w:firstLine="0"/>
            </w:pPr>
            <w:r>
              <w:rPr>
                <w:rFonts w:ascii="宋体" w:hAnsi="宋体" w:eastAsia="宋体"/>
                <w:sz w:val="21"/>
              </w:rPr>
              <w:t>`quantamind/config.py`</w:t>
            </w:r>
          </w:p>
        </w:tc>
      </w:tr>
      <w:tr>
        <w:tc>
          <w:tcPr>
            <w:tcW w:type="dxa" w:w="4323"/>
          </w:tcPr>
          <w:p>
            <w:pPr>
              <w:spacing w:line="300" w:lineRule="auto"/>
              <w:ind w:firstLine="0"/>
            </w:pPr>
            <w:r>
              <w:rPr>
                <w:rFonts w:ascii="宋体" w:hAnsi="宋体" w:eastAsia="宋体"/>
                <w:sz w:val="21"/>
              </w:rPr>
              <w:t>网关</w:t>
            </w:r>
          </w:p>
        </w:tc>
        <w:tc>
          <w:tcPr>
            <w:tcW w:type="dxa" w:w="4323"/>
          </w:tcPr>
          <w:p>
            <w:pPr>
              <w:spacing w:line="300" w:lineRule="auto"/>
              <w:ind w:firstLine="0"/>
            </w:pPr>
            <w:r>
              <w:rPr>
                <w:rFonts w:ascii="宋体" w:hAnsi="宋体" w:eastAsia="宋体"/>
                <w:sz w:val="21"/>
              </w:rPr>
              <w:t>`quantamind/server/gateway.py`</w:t>
            </w:r>
          </w:p>
        </w:tc>
      </w:tr>
      <w:tr>
        <w:tc>
          <w:tcPr>
            <w:tcW w:type="dxa" w:w="4323"/>
          </w:tcPr>
          <w:p>
            <w:pPr>
              <w:spacing w:line="300" w:lineRule="auto"/>
              <w:ind w:firstLine="0"/>
            </w:pPr>
            <w:r>
              <w:rPr>
                <w:rFonts w:ascii="宋体" w:hAnsi="宋体" w:eastAsia="宋体"/>
                <w:sz w:val="21"/>
              </w:rPr>
              <w:t>编排与 Agent</w:t>
            </w:r>
          </w:p>
        </w:tc>
        <w:tc>
          <w:tcPr>
            <w:tcW w:type="dxa" w:w="4323"/>
          </w:tcPr>
          <w:p>
            <w:pPr>
              <w:spacing w:line="300" w:lineRule="auto"/>
              <w:ind w:firstLine="0"/>
            </w:pPr>
            <w:r>
              <w:rPr>
                <w:rFonts w:ascii="宋体" w:hAnsi="宋体" w:eastAsia="宋体"/>
                <w:sz w:val="21"/>
              </w:rPr>
              <w:t>`quantamind/agents/orchestrator.py`</w:t>
            </w:r>
          </w:p>
        </w:tc>
      </w:tr>
      <w:tr>
        <w:tc>
          <w:tcPr>
            <w:tcW w:type="dxa" w:w="4323"/>
          </w:tcPr>
          <w:p>
            <w:pPr>
              <w:spacing w:line="300" w:lineRule="auto"/>
              <w:ind w:firstLine="0"/>
            </w:pPr>
            <w:r>
              <w:rPr>
                <w:rFonts w:ascii="宋体" w:hAnsi="宋体" w:eastAsia="宋体"/>
                <w:sz w:val="21"/>
              </w:rPr>
              <w:t>情报与知识能力</w:t>
            </w:r>
          </w:p>
        </w:tc>
        <w:tc>
          <w:tcPr>
            <w:tcW w:type="dxa" w:w="4323"/>
          </w:tcPr>
          <w:p>
            <w:pPr>
              <w:spacing w:line="300" w:lineRule="auto"/>
              <w:ind w:firstLine="0"/>
            </w:pPr>
            <w:r>
              <w:rPr>
                <w:rFonts w:ascii="宋体" w:hAnsi="宋体" w:eastAsia="宋体"/>
                <w:sz w:val="21"/>
              </w:rPr>
              <w:t>`quantamind/server/arxiv_intel.py`、`quantamind/server/knowledge_base.py`</w:t>
            </w:r>
          </w:p>
        </w:tc>
      </w:tr>
      <w:tr>
        <w:tc>
          <w:tcPr>
            <w:tcW w:type="dxa" w:w="4323"/>
          </w:tcPr>
          <w:p>
            <w:pPr>
              <w:spacing w:line="300" w:lineRule="auto"/>
              <w:ind w:firstLine="0"/>
            </w:pPr>
            <w:r>
              <w:rPr>
                <w:rFonts w:ascii="宋体" w:hAnsi="宋体" w:eastAsia="宋体"/>
                <w:sz w:val="21"/>
              </w:rPr>
              <w:t>工具层</w:t>
            </w:r>
          </w:p>
        </w:tc>
        <w:tc>
          <w:tcPr>
            <w:tcW w:type="dxa" w:w="4323"/>
          </w:tcPr>
          <w:p>
            <w:pPr>
              <w:spacing w:line="300" w:lineRule="auto"/>
              <w:ind w:firstLine="0"/>
            </w:pPr>
            <w:r>
              <w:rPr>
                <w:rFonts w:ascii="宋体" w:hAnsi="宋体" w:eastAsia="宋体"/>
                <w:sz w:val="21"/>
              </w:rPr>
              <w:t>`quantamind/server/hands*.py`</w:t>
            </w:r>
          </w:p>
        </w:tc>
      </w:tr>
      <w:tr>
        <w:tc>
          <w:tcPr>
            <w:tcW w:type="dxa" w:w="4323"/>
          </w:tcPr>
          <w:p>
            <w:pPr>
              <w:spacing w:line="300" w:lineRule="auto"/>
              <w:ind w:firstLine="0"/>
            </w:pPr>
            <w:r>
              <w:rPr>
                <w:rFonts w:ascii="宋体" w:hAnsi="宋体" w:eastAsia="宋体"/>
                <w:sz w:val="21"/>
              </w:rPr>
              <w:t>侧车服务</w:t>
            </w:r>
          </w:p>
        </w:tc>
        <w:tc>
          <w:tcPr>
            <w:tcW w:type="dxa" w:w="4323"/>
          </w:tcPr>
          <w:p>
            <w:pPr>
              <w:spacing w:line="300" w:lineRule="auto"/>
              <w:ind w:firstLine="0"/>
            </w:pPr>
            <w:r>
              <w:rPr>
                <w:rFonts w:ascii="宋体" w:hAnsi="宋体" w:eastAsia="宋体"/>
                <w:sz w:val="21"/>
              </w:rPr>
              <w:t>`quantamind/server/sidecar/`</w:t>
            </w:r>
          </w:p>
        </w:tc>
      </w:tr>
      <w:tr>
        <w:tc>
          <w:tcPr>
            <w:tcW w:type="dxa" w:w="4323"/>
          </w:tcPr>
          <w:p>
            <w:pPr>
              <w:spacing w:line="300" w:lineRule="auto"/>
              <w:ind w:firstLine="0"/>
            </w:pPr>
            <w:r>
              <w:rPr>
                <w:rFonts w:ascii="宋体" w:hAnsi="宋体" w:eastAsia="宋体"/>
                <w:sz w:val="21"/>
              </w:rPr>
              <w:t>架构设计</w:t>
            </w:r>
          </w:p>
        </w:tc>
        <w:tc>
          <w:tcPr>
            <w:tcW w:type="dxa" w:w="4323"/>
          </w:tcPr>
          <w:p>
            <w:pPr>
              <w:spacing w:line="300" w:lineRule="auto"/>
              <w:ind w:firstLine="0"/>
            </w:pPr>
            <w:r>
              <w:rPr>
                <w:rFonts w:ascii="宋体" w:hAnsi="宋体" w:eastAsia="宋体"/>
                <w:sz w:val="21"/>
              </w:rPr>
              <w:t>`docs/QuantaMind_AI中台_基于OpenClaw架构设计方案.md`</w:t>
            </w:r>
          </w:p>
        </w:tc>
      </w:tr>
    </w:tbl>
    <w:p>
      <w:r>
        <w:rPr>
          <w:b/>
        </w:rPr>
        <w:t>文档结束</w:t>
      </w:r>
    </w:p>
    <w:sectPr w:rsidR="00FC693F" w:rsidRPr="0006063C" w:rsidSect="00034616">
      <w:headerReference w:type="default" r:id="rId9"/>
      <w:footerReference w:type="default" r:id="rId10"/>
      <w:pgSz w:w="12240" w:h="15840"/>
      <w:pgMar w:top="1440" w:right="1797" w:bottom="1440" w:left="1797" w:header="850" w:footer="99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1"/>
      </w:rPr>
      <w:t xml:space="preserve">第 </w:t>
    </w:r>
    <w:r>
      <w:fldChar w:fldCharType="begin"/>
      <w:instrText xml:space="preserve"> PAGE </w:instrText>
      <w:fldChar w:fldCharType="separate"/>
      <w:t>1</w:t>
      <w:fldChar w:fldCharType="end"/>
    </w:r>
    <w:r>
      <w:rPr>
        <w:rFonts w:ascii="宋体" w:hAnsi="宋体" w:eastAsia="宋体"/>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21"/>
      </w:rPr>
      <w:t>量子计算工业软件工程技术研发中心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ind w:firstLine="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120"/>
      <w:ind w:firstLine="0"/>
      <w:contextualSpacing/>
    </w:pPr>
    <w:rPr>
      <w:rFonts w:asciiTheme="majorHAnsi" w:eastAsiaTheme="majorEastAsia" w:hAnsiTheme="majorHAnsi" w:cstheme="majorBidi" w:ascii="黑体" w:hAnsi="黑体"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0" w:after="0"/>
      <w:ind w:firstLine="0"/>
      <w:contextualSpacing/>
    </w:pPr>
    <w:rPr>
      <w:rFonts w:ascii="宋体" w:hAnsi="宋体"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before="0" w:after="0"/>
      <w:ind w:firstLine="0"/>
      <w:contextualSpacing/>
    </w:pPr>
    <w:rPr>
      <w:rFonts w:ascii="宋体" w:hAnsi="宋体" w:eastAsia="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