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AetherQ：面向超导量子芯片自主科研的多智能体编排系统</w:t>
      </w:r>
    </w:p>
    <w:p>
      <w:pPr>
        <w:pStyle w:val="author"/>
      </w:pPr>
      <w:r>
        <w:t>Qinglang Guo¹²³, Ling Qiao¹², Rongcheng Ouyang⁴, Chunyao Yang⁴⁵¹*, and Yunxiang Yang¹²³*</w:t>
      </w:r>
    </w:p>
    <w:p>
      <w:pPr>
        <w:pStyle w:val="address"/>
      </w:pPr>
      <w:r>
        <w:t>¹ Jiangsu Key Laboratory of Digital Finance, Suzhou, China, 215133</w:t>
      </w:r>
    </w:p>
    <w:p>
      <w:pPr>
        <w:pStyle w:val="address"/>
      </w:pPr>
      <w:r>
        <w:t>² Yangtze Delta Industrial Innovation Center of Quantum Science and Technology, Suzhou, China</w:t>
      </w:r>
    </w:p>
    <w:p>
      <w:pPr>
        <w:pStyle w:val="address"/>
      </w:pPr>
      <w:r>
        <w:t>³ China Academy of Electronics and Information Technology, No. 11 Shuangyuan Road, Shijingshan District, Beijing, China, 100041</w:t>
      </w:r>
    </w:p>
    <w:p>
      <w:pPr>
        <w:pStyle w:val="address"/>
      </w:pPr>
      <w:r>
        <w:t>⁴ China Assets Cyber Security Technology Co., Ltd., Beijing, China</w:t>
      </w:r>
    </w:p>
    <w:p>
      <w:pPr>
        <w:pStyle w:val="address"/>
      </w:pPr>
      <w:r>
        <w:t>⁵ University of Science and Technology of China, Hefei, China</w:t>
      </w:r>
    </w:p>
    <w:p>
      <w:pPr>
        <w:pStyle w:val="address"/>
      </w:pPr>
      <w:r>
        <w:t>gql1993@mail.ustc.edu.cn, qiaoling@tgqs.net, cact_ouyangrc@cetc.com.cn</w:t>
      </w:r>
    </w:p>
    <w:p>
      <w:pPr>
        <w:pStyle w:val="address"/>
      </w:pPr>
      <w:r>
        <w:t>*Corresponding authors: yangcy@cacts.cn (C. Yang), yyxsdu@126.com (Y. Yang)</w:t>
      </w:r>
    </w:p>
    <w:p>
      <w:pPr>
        <w:pStyle w:val="abstract"/>
      </w:pPr>
      <w:r>
        <w:t>Abstract. 超导量子 chip development demands coordinated expertise across electromagnetic design, circuit quantization, process engineering, 低温 测量, and data analysis. 我们提出 AetherQ, a 多智能体 AI system that orchestrates twelve specialized AI scientist agents to autonomously manage the full chip research lifecycle through 自然语言 interaction. The system employs a six-layer architecture with a central orchestrator that routes user intent to domain-specific agents via keyword-based Mixture-of-Experts classification, each agent operating through a ReAct-style 工具调用 loop over 140 registered tools across 10 platform adapters including Qiskit Metal, Ansys HFSS/Q3D, ARTIQ, and CHIPMES. We introduce three key mechanisms: (i) structured agent specialization through role-specific system prompts, tool-prefix permissions, and domain keyword routing; (ii) a conversation pipeline protocol that records every tool invocation with full provenance for reproducibility; and (iii) an autonomous four-tier 心跳引擎 for continuous monitoring without human prompting. 我们评估 AetherQ through five collaboration experiments: 多智能体 vs. 单智能体 任务完成 (100% vs. 90% 成功率 with 42% fewer reasoning rounds), intent 路由准确率 (84% across 50 queries spanning 10 domains), 工具调用 chain orchestration (up to 8-step chains across 140 tools), cross-agent information flow (85-95% retention across 2-5 agent pipelines), and autonomous heartbeat discovery (8 actionable findings in 24 hours at 87.5% actionable rate). These results demonstrate that structured 多智能体 orchestration significantly outperforms monolithic approaches for complex 量子硬件 R&amp;D tasks.</w:t>
      </w:r>
    </w:p>
    <w:p>
      <w:pPr>
        <w:pStyle w:val="keywords"/>
      </w:pPr>
      <w:r>
        <w:t>关键词： Multi-agent orchestration, 超导量子 chip, Agent specialization, Tool-call protocol, LLM-based agents, Autonomous scientific research, Intent routing.</w:t>
      </w:r>
    </w:p>
    <w:p>
      <w:pPr>
        <w:pStyle w:val="heading1"/>
      </w:pPr>
      <w:r>
        <w:t>引言</w:t>
      </w:r>
    </w:p>
    <w:p>
      <w:pPr>
        <w:pStyle w:val="p1a"/>
      </w:pPr>
      <w:r>
        <w:t>超导量子 computing has emerged as one of the most promising platforms for realizing fault-tolerant quantum processors [1,2]. Over the past two decades, the 相干时间s of superconducting transmon量子比特s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然而， the design, 制造, and 表征 of each new generation of quantum processors remains a labor-intensive endeavor that critically depends on the coordinated expertise of physicists, microwave engineers, materials scientists, and EDA specialists.</w:t>
      </w:r>
    </w:p>
    <w:p>
      <w:pPr/>
      <w:r>
        <w:t>The complexity of this development cycle is compounded by the deep interdependence between stages. A change in 约瑟夫森结 resistance during 制造 shifts qubit frequencies, which in turn affects the optimal coupler bias point, readout 色散位移, and gate pulse parameters. Diagnosing whether a measured performance degradation originates from design 局限性, 制造 variability, or 测量 setup issues requires expertise spanning multiple domains simultaneously. A recent comprehensive survey on Quantum Design Automation (QDA) by Wu et al. [57] identified this interdependence as a fundamental challenge, advocating for holistic co-design frameworks that integrate physical-level and logic-level optimization across the entire 量子计算 stack.</w:t>
      </w:r>
    </w:p>
    <w:p>
      <w:pPr/>
      <w:r>
        <w:t>The transmon量子比特, introduced by Koch et al. [3], has become the workhorse of 超导量子 processors due to its reduced charge noise sensitivity achieved through operating in the regime where the Josephson energy EJ greatly exceeds the charging energy EC (typically EJ/EC &gt; 20). Modern transmon architectures incorporate 可调耦合器s [56] that enable dynamic control of qubit-qubit interactions, allowing residual ZZ coupling to be suppressed below 20 kHz while maintaining 耦合强度s exceeding 15 MHz for fast two-qubit gates. The design of these devices requires careful frequency planning to avoid spectral collisions [10], 电磁仿真 to extract capacitance matrices and 参与比s [11,12], and iterative optimization of geometric parameters to meet target specifications for 相干时间s, gate fidelities, and readout performance.</w:t>
      </w:r>
    </w:p>
    <w:p>
      <w:pPr>
        <w:pStyle w:val="p1a"/>
      </w:pPr>
      <w:r>
        <w:t>The research cycle for a 超导量子 chip typically involves multiple tightly coupled stages. First, the chip designer must specify qubit frequencies, anharmonicities, and 耦合强度s that satisfy a complex web of constraints: neighboring qubit frequencies must be sufficiently detuned to avoid 频率碰撞s, yet close enough to enable fast two-qubit gates; readout resonator frequencies must fall within the bandwidth of the 测量 chain while maintaining adequate 色散位移s; and coupler parameters must balance residual ZZ interaction suppression against gate speed [9,10]. Second, these specifications must be translated into physical geometries through 电磁仿真, a process that involves capacitance extraction (Q3D), lumped oscillator modeling (LOM), energy 参与比 (EPR) analysis, and 本征模 solving [11,12]. Third, after 制造 and cooldown, the chip must be characterized through a battery of experiments including spectroscopy, Rabi oscillations, Ramsey interferometry, randomized benchmarking, and noise spectroscopy [13,14]. When performance falls short of targets, the experimentalist must diagnose 根因s, a task that requires synthesizing information from multiple 测量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例如， a change in the 约瑟夫森结 resistance during 制造 shifts qubit frequencies, which in turn affects the optimal coupler bias point, readout 色散位移, and gate pulse parameters. Diagnosing whether a measured performance degradation originates from design 局限性, 制造 variability, or 测量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电磁仿真, Hamiltonian derivation, 退相干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量子硬件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量子芯片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existing agent systems and 量子硬件 automation is significant. Computational chemistry workflows are predominantly software-based (generating input files, running simulations, parsing outputs), whereas 量子硬件 workflows involve physical artifacts (GDS layout files, fabricated chips, 低温 测量 data) and require real-time interaction with instruments and 制造执行系统s with hundreds of database tables. 此外， error diagnosis in 量子硬件 is fundamentally more complex: a low 门保真度 could stem from 频率碰撞s in the design, junction parameter drift during 制造, insufficient magnetic shielding, 热光子 population, or pulse distortion in the control electronics. Attributing performance to 根因s requires combining theoretical models, simulation data, and experimental evidence in a structured 多智能体 reasoning framework that goes beyond what any single LLM can accomplish.</w:t>
      </w:r>
    </w:p>
    <w:p>
      <w:pPr/>
      <w:r>
        <w:t>The gap between computational chemistry automation and 量子硬件 automation is significant. While computational chemistry workflows are predominantly software-based (generating input files, running simulations, parsing outputs), 量子硬件 workflows involve physical artifacts (GDS layout files, fabricated chips, 低温 测量 data) and require real-time interaction with instruments and 制造执行系统s. 此外， the error diagnosis in 量子硬件 is fundamentally more complex: a low 门保真度 could stem from 频率碰撞s in the design, junction parameter drift during 制造, insufficient magnetic shielding, 热光子 population, or pulse distortion in the control electronics. Attributing performance to 根因s requires combining theoretical models, simulation data, and experimental evidence in a structured reasoning framework that goes beyond pattern matching.</w:t>
      </w:r>
    </w:p>
    <w:p>
      <w:pPr>
        <w:pStyle w:val="p1a"/>
      </w:pPr>
      <w:r>
        <w:t>在本文中， 我们提出 AetherQ, a 多智能体 AI system specifically designed to automate the research cycle of 超导量子 chip development. AetherQ comprises twelve specialized agents coordinated by a central planner, with each agent encapsulating domain expertise through a combination of LLM reasoning, structured 工具调用s, and physics-informed computation modules. Our key 贡献 are as follows: (1) We propose a hierarchical 多智能体 architecture that decomposes the 量子芯片 research pipeline into modular, composable sub-tasks with 优雅降级 under tool failures. (2) We introduce nine physics modules (M0-M8) that encode domain knowledge for Hamiltonian construction, noise analysis, anomaly diagnosis, 实验方案ning, simulation orchestration, pulse optimization, design synthesis, and layout generation. (3) We validate the system on a realistic 20-qubit transmon chip with 可调耦合器s, demonstrating 端到端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相关工作</w:t>
      </w:r>
    </w:p>
    <w:p>
      <w:pPr>
        <w:pStyle w:val="heading2"/>
      </w:pPr>
      <w:r>
        <w:t>基于LLM的科学智能体</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实验设计 and execution. In the broader scientific domain, systems like SciAgent [31] and ResearchAgent [32] have shown the ability to navigate literature, formulate hypotheses, and design experiments, though primarily in domains with well-established computational tools. The 多智能体 paradigm has been explored by systems such as AutoGen [23], MetaGPT [33], and CAMEL [34], which demonstrate that role-specialized agents can outperform monolithic LLMs on complex tasks requiring diverse expertise. 然而， none of these systems address the specific challenges of 量子硬件 research, which requires tight integration between theoretical physics reasoning, numerical simulation, and experimental design.</w:t>
      </w:r>
    </w:p>
    <w:p>
      <w:pPr>
        <w:pStyle w:val="heading2"/>
      </w:pPr>
      <w:r>
        <w:t>量子计算中的人工智能</w:t>
      </w:r>
    </w:p>
    <w:p>
      <w:pPr>
        <w:pStyle w:val="p1a"/>
      </w:pPr>
      <w:r>
        <w:t>Machine learning techniques have been applied to various aspects of 量子计算, including quantum state tomography [35], quantum error correction decoding [36,37], variational quantum algorithm optimization [27], and quantum circuit compilation [25]. At the hardware level, reinforcement learning has been used for qubit frequency tuneup [38], gate 校准 [39], and readout optimization [40]. Neural network surrogate models have been proposed for accelerating 电磁仿真 of superconducting circuits [41,42]. More recently, LLMs have been explored for quantum circuit generation [43] and quantum error analysis [44]. 然而， these approaches address isolated tasks rather than the integrated research pipeline. AetherQ differs fundamentally by providing an 端到端 system that spans from theoretical modeling through experimental validation.</w:t>
      </w:r>
    </w:p>
    <w:p>
      <w:pPr>
        <w:pStyle w:val="heading2"/>
      </w:pPr>
      <w:r>
        <w:t>量子芯片电子设计自动化</w:t>
      </w:r>
    </w:p>
    <w:p>
      <w:pPr>
        <w:pStyle w:val="p1a"/>
      </w:pPr>
      <w:r>
        <w:t>The EDA community has begun to develop specialized tools for 超导量子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电磁仿真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high-准确率 电磁仿真s in Ansys HFSS with Energy Participation Ratio (EPR) analysis integrated into Qiskit Metal. For larger-scale chips, Li et al. [59] proposed a graph neural network (GNN)-based parameter design algorithm that achieves 51% error reduction compared to conventional methods for circuits approaching 870 qubits. Li et al. [60] demonstrated LLM-assisted superconducting qubit experiments where an LLM framework autonomously performs resonator 表征 and QND 测量s. The QUASAR framework [61] addresses quantum circuit generation through agentic reinforcement learning, achieving 99.31% validity in quantum assembly code generation. Google's work on reinforcement learning for quantum error correction [62] demonstrates that 校准 can be unified with computation through continuous parameter adjustment during operation. These developments highlight the growing sophistication of individual automation tools, but none provides 端到端 orchestration across the full chip lifecycle.</w:t>
      </w:r>
    </w:p>
    <w:p>
      <w:pPr/>
      <w:r>
        <w:t>The QDesignOptimizer framework [58] represents a notable advance in automated superconducting circuit design, combining high-准确率 电磁仿真s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端到端 orchestration.</w:t>
      </w:r>
    </w:p>
    <w:p>
      <w:pPr>
        <w:pStyle w:val="heading2"/>
      </w:pPr>
      <w:r>
        <w:t>差距分析与定位</w:t>
      </w:r>
    </w:p>
    <w:p>
      <w:pPr>
        <w:pStyle w:val="p1a"/>
      </w:pPr>
      <w:r>
        <w:t>Table 1 summarizes the positioning of AetherQ relative to existing work. The key differentiator is the integration of LLM-based scientific reasoning with the full 量子芯片 research pipeline, encompassing Hamiltonian modeling, noise analysis, diagnosis, 实验方案ning, simulation, pulse optimization, and layout generation within a unified 多智能体 framework. While prior systems excel at individual tasks, AetherQ is the first to provide autonomous 端到端 coverage of the research cycle, with structured inter-agent communication and 优雅降级 under partial failures.</w:t>
      </w:r>
    </w:p>
    <w:p>
      <w:pPr/>
      <w:r>
        <w:t>A recent landmark study by Li et al. [60] demonstrated LLM-assisted superconducting qubit experiments, where an LLM framework generates and invokes experimental tools on-demand via a knowledge base, enabling autonomous resonator 表征 and quantum non-demolition (QND) 测量s. The QUASAR framework [61] addresses quantum circuit generation through agentic reinforcement learning, achieving 99.31% validity in quantum assembly code generation. Google's work on reinforcement learning for quantum error correction [62] shows that 校准 can be unified with computation through continuous parameter adjustment during operation. These developments, while impressive individually, highlight the absence of a unifying framework that integrates design, simulation, 制造 tracking, 测量, and analysis into a coherent 多智能体 system. AetherQ addresses this gap by providing a single platform where all twelve roles of a 量子芯片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r>
              <w:t>System</w:t>
            </w:r>
          </w:p>
        </w:tc>
        <w:tc>
          <w:tcPr>
            <w:tcW w:type="dxa" w:w="1153"/>
            <w:tcMar/>
          </w:tcPr>
          <w:p>
            <w:r>
              <w:t>Domain</w:t>
            </w:r>
          </w:p>
        </w:tc>
        <w:tc>
          <w:tcPr>
            <w:tcW w:type="dxa" w:w="1153"/>
            <w:tcMar/>
          </w:tcPr>
          <w:p>
            <w:r>
              <w:t>Multi-Agent</w:t>
            </w:r>
          </w:p>
        </w:tc>
        <w:tc>
          <w:tcPr>
            <w:tcW w:type="dxa" w:w="1153"/>
            <w:tcMar/>
          </w:tcPr>
          <w:p>
            <w:r>
              <w:t>Tool Use</w:t>
            </w:r>
          </w:p>
        </w:tc>
        <w:tc>
          <w:tcPr>
            <w:tcW w:type="dxa" w:w="1153"/>
            <w:tcMar/>
          </w:tcPr>
          <w:p>
            <w:r>
              <w:t>Physics Modules</w:t>
            </w:r>
          </w:p>
        </w:tc>
        <w:tc>
          <w:tcPr>
            <w:tcW w:type="dxa" w:w="1153"/>
            <w:tcMar/>
          </w:tcPr>
          <w:p>
            <w:r>
              <w:t>End-to-End</w:t>
            </w:r>
          </w:p>
        </w:tc>
      </w:tr>
      <w:tr>
        <w:tc>
          <w:tcPr>
            <w:tcW w:type="dxa" w:w="1153"/>
            <w:tcMar/>
          </w:tcPr>
          <w:p>
            <w:r>
              <w:t>ChemCrow [29]</w:t>
            </w:r>
          </w:p>
        </w:tc>
        <w:tc>
          <w:tcPr>
            <w:tcW w:type="dxa" w:w="1153"/>
            <w:tcMar/>
          </w:tcPr>
          <w:p>
            <w:r>
              <w:t>Chemistry</w:t>
            </w:r>
          </w:p>
        </w:tc>
        <w:tc>
          <w:tcPr>
            <w:tcW w:type="dxa" w:w="1153"/>
            <w:tcMar/>
          </w:tcPr>
          <w:p>
            <w:r>
              <w:t>No</w:t>
            </w:r>
          </w:p>
        </w:tc>
        <w:tc>
          <w:tcPr>
            <w:tcW w:type="dxa" w:w="1153"/>
            <w:tcMar/>
          </w:tcPr>
          <w:p>
            <w:r>
              <w:t>Yes</w:t>
            </w:r>
          </w:p>
        </w:tc>
        <w:tc>
          <w:tcPr>
            <w:tcW w:type="dxa" w:w="1153"/>
            <w:tcMar/>
          </w:tcPr>
          <w:p>
            <w:r>
              <w:t>No</w:t>
            </w:r>
          </w:p>
        </w:tc>
        <w:tc>
          <w:tcPr>
            <w:tcW w:type="dxa" w:w="1153"/>
            <w:tcMar/>
          </w:tcPr>
          <w:p>
            <w:r>
              <w:t>Partial</w:t>
            </w:r>
          </w:p>
        </w:tc>
      </w:tr>
      <w:tr>
        <w:tc>
          <w:tcPr>
            <w:tcW w:type="dxa" w:w="1153"/>
            <w:tcMar/>
          </w:tcPr>
          <w:p>
            <w:r>
              <w:t>Coscientist [30]</w:t>
            </w:r>
          </w:p>
        </w:tc>
        <w:tc>
          <w:tcPr>
            <w:tcW w:type="dxa" w:w="1153"/>
            <w:tcMar/>
          </w:tcPr>
          <w:p>
            <w:r>
              <w:t>Chemistry</w:t>
            </w:r>
          </w:p>
        </w:tc>
        <w:tc>
          <w:tcPr>
            <w:tcW w:type="dxa" w:w="1153"/>
            <w:tcMar/>
          </w:tcPr>
          <w:p>
            <w:r>
              <w:t>No</w:t>
            </w:r>
          </w:p>
        </w:tc>
        <w:tc>
          <w:tcPr>
            <w:tcW w:type="dxa" w:w="1153"/>
            <w:tcMar/>
          </w:tcPr>
          <w:p>
            <w:r>
              <w:t>Yes</w:t>
            </w:r>
          </w:p>
        </w:tc>
        <w:tc>
          <w:tcPr>
            <w:tcW w:type="dxa" w:w="1153"/>
            <w:tcMar/>
          </w:tcPr>
          <w:p>
            <w:r>
              <w:t>No</w:t>
            </w:r>
          </w:p>
        </w:tc>
        <w:tc>
          <w:tcPr>
            <w:tcW w:type="dxa" w:w="1153"/>
            <w:tcMar/>
          </w:tcPr>
          <w:p>
            <w:r>
              <w:t>Yes</w:t>
            </w:r>
          </w:p>
        </w:tc>
      </w:tr>
      <w:tr>
        <w:tc>
          <w:tcPr>
            <w:tcW w:type="dxa" w:w="1153"/>
            <w:tcMar/>
          </w:tcPr>
          <w:p>
            <w:r>
              <w:t>AutoGen [23]</w:t>
            </w:r>
          </w:p>
        </w:tc>
        <w:tc>
          <w:tcPr>
            <w:tcW w:type="dxa" w:w="1153"/>
            <w:tcMar/>
          </w:tcPr>
          <w:p>
            <w:r>
              <w:t>General</w:t>
            </w:r>
          </w:p>
        </w:tc>
        <w:tc>
          <w:tcPr>
            <w:tcW w:type="dxa" w:w="1153"/>
            <w:tcMar/>
          </w:tcPr>
          <w:p>
            <w:r>
              <w:t>Yes</w:t>
            </w:r>
          </w:p>
        </w:tc>
        <w:tc>
          <w:tcPr>
            <w:tcW w:type="dxa" w:w="1153"/>
            <w:tcMar/>
          </w:tcPr>
          <w:p>
            <w:r>
              <w:t>Yes</w:t>
            </w:r>
          </w:p>
        </w:tc>
        <w:tc>
          <w:tcPr>
            <w:tcW w:type="dxa" w:w="1153"/>
            <w:tcMar/>
          </w:tcPr>
          <w:p>
            <w:r>
              <w:t>No</w:t>
            </w:r>
          </w:p>
        </w:tc>
        <w:tc>
          <w:tcPr>
            <w:tcW w:type="dxa" w:w="1153"/>
            <w:tcMar/>
          </w:tcPr>
          <w:p>
            <w:r>
              <w:t>No</w:t>
            </w:r>
          </w:p>
        </w:tc>
      </w:tr>
      <w:tr>
        <w:tc>
          <w:tcPr>
            <w:tcW w:type="dxa" w:w="1153"/>
            <w:tcMar/>
          </w:tcPr>
          <w:p>
            <w:r>
              <w:t>Qiskit Metal [46]</w:t>
            </w:r>
          </w:p>
        </w:tc>
        <w:tc>
          <w:tcPr>
            <w:tcW w:type="dxa" w:w="1153"/>
            <w:tcMar/>
          </w:tcPr>
          <w:p>
            <w:r>
              <w:t>Quantum EDA</w:t>
            </w:r>
          </w:p>
        </w:tc>
        <w:tc>
          <w:tcPr>
            <w:tcW w:type="dxa" w:w="1153"/>
            <w:tcMar/>
          </w:tcPr>
          <w:p>
            <w:r>
              <w:t>No</w:t>
            </w:r>
          </w:p>
        </w:tc>
        <w:tc>
          <w:tcPr>
            <w:tcW w:type="dxa" w:w="1153"/>
            <w:tcMar/>
          </w:tcPr>
          <w:p>
            <w:r>
              <w:t>Yes</w:t>
            </w:r>
          </w:p>
        </w:tc>
        <w:tc>
          <w:tcPr>
            <w:tcW w:type="dxa" w:w="1153"/>
            <w:tcMar/>
          </w:tcPr>
          <w:p>
            <w:r>
              <w:t>Partial</w:t>
            </w:r>
          </w:p>
        </w:tc>
        <w:tc>
          <w:tcPr>
            <w:tcW w:type="dxa" w:w="1153"/>
            <w:tcMar/>
          </w:tcPr>
          <w:p>
            <w:r>
              <w:t>Partial</w:t>
            </w:r>
          </w:p>
        </w:tc>
      </w:tr>
      <w:tr>
        <w:tc>
          <w:tcPr>
            <w:tcW w:type="dxa" w:w="1153"/>
            <w:tcMar/>
          </w:tcPr>
          <w:p>
            <w:r>
              <w:t>RL Calibration [38]</w:t>
            </w:r>
          </w:p>
        </w:tc>
        <w:tc>
          <w:tcPr>
            <w:tcW w:type="dxa" w:w="1153"/>
            <w:tcMar/>
          </w:tcPr>
          <w:p>
            <w:r>
              <w:t>Quantum HW</w:t>
            </w:r>
          </w:p>
        </w:tc>
        <w:tc>
          <w:tcPr>
            <w:tcW w:type="dxa" w:w="1153"/>
            <w:tcMar/>
          </w:tcPr>
          <w:p>
            <w:r>
              <w:t>No</w:t>
            </w:r>
          </w:p>
        </w:tc>
        <w:tc>
          <w:tcPr>
            <w:tcW w:type="dxa" w:w="1153"/>
            <w:tcMar/>
          </w:tcPr>
          <w:p>
            <w:r>
              <w:t>No</w:t>
            </w:r>
          </w:p>
        </w:tc>
        <w:tc>
          <w:tcPr>
            <w:tcW w:type="dxa" w:w="1153"/>
            <w:tcMar/>
          </w:tcPr>
          <w:p>
            <w:r>
              <w:t>No</w:t>
            </w:r>
          </w:p>
        </w:tc>
        <w:tc>
          <w:tcPr>
            <w:tcW w:type="dxa" w:w="1153"/>
            <w:tcMar/>
          </w:tcPr>
          <w:p>
            <w:r>
              <w:t>No</w:t>
            </w:r>
          </w:p>
        </w:tc>
      </w:tr>
      <w:tr>
        <w:tc>
          <w:tcPr>
            <w:tcW w:type="dxa" w:w="1153"/>
            <w:tcMar/>
          </w:tcPr>
          <w:p>
            <w:r>
              <w:t>AetherQ (ours)</w:t>
            </w:r>
          </w:p>
        </w:tc>
        <w:tc>
          <w:tcPr>
            <w:tcW w:type="dxa" w:w="1153"/>
            <w:tcMar/>
          </w:tcPr>
          <w:p>
            <w:r>
              <w:t>Quantum HW</w:t>
            </w:r>
          </w:p>
        </w:tc>
        <w:tc>
          <w:tcPr>
            <w:tcW w:type="dxa" w:w="1153"/>
            <w:tcMar/>
          </w:tcPr>
          <w:p>
            <w:r>
              <w:t>Yes (12)</w:t>
            </w:r>
          </w:p>
        </w:tc>
        <w:tc>
          <w:tcPr>
            <w:tcW w:type="dxa" w:w="1153"/>
            <w:tcMar/>
          </w:tcPr>
          <w:p>
            <w:r>
              <w:t>Yes</w:t>
            </w:r>
          </w:p>
        </w:tc>
        <w:tc>
          <w:tcPr>
            <w:tcW w:type="dxa" w:w="1153"/>
            <w:tcMar/>
          </w:tcPr>
          <w:p>
            <w:r>
              <w:t>Yes (M0-M8)</w:t>
            </w:r>
          </w:p>
        </w:tc>
        <w:tc>
          <w:tcPr>
            <w:tcW w:type="dxa" w:w="1153"/>
            <w:tcMar/>
          </w:tcPr>
          <w:p>
            <w:r>
              <w:t>Yes</w:t>
            </w:r>
          </w:p>
        </w:tc>
      </w:tr>
    </w:tbl>
    <w:p>
      <w:pPr>
        <w:pStyle w:val="heading1"/>
      </w:pPr>
      <w:r>
        <w:t>系统架构</w:t>
      </w:r>
    </w:p>
    <w:p>
      <w:pPr>
        <w:pStyle w:val="p1a"/>
      </w:pPr>
      <w:r>
        <w:t>AetherQ employs a hierarchical 多智能体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智能体角色与专业化</w:t>
      </w:r>
    </w:p>
    <w:p>
      <w:pPr>
        <w:pStyle w:val="p1a"/>
      </w:pPr>
      <w:r>
        <w:t>The twelve agents in AetherQ are designed to mirror the roles of a real 量子硬件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噪声预算 decomposition, 退相干 modeling, and sensitivity analysis; (4) Diagnostician: anomaly classification, 根因 ranking, and verification 实验设计; (5) Experimentalist: 实验方案ning, protocol design, and adaptive scheduling; (6) Simulation Engineer: 电磁仿真 orchestration across Q3D, LOM, EPR, and 本征模 solvers; (7) Pulse Engineer: gate pulse design, DRAG optimization, and GRAPE-based optimal control; (8) Chip Designer: frequency planning, layout optimization, and 设计建议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r>
              <w:t>Agent</w:t>
            </w:r>
          </w:p>
        </w:tc>
        <w:tc>
          <w:tcPr>
            <w:tcW w:type="dxa" w:w="1729"/>
            <w:tcMar/>
          </w:tcPr>
          <w:p>
            <w:r>
              <w:t>Primary Role</w:t>
            </w:r>
          </w:p>
        </w:tc>
        <w:tc>
          <w:tcPr>
            <w:tcW w:type="dxa" w:w="1729"/>
            <w:tcMar/>
          </w:tcPr>
          <w:p>
            <w:r>
              <w:t>Key Tools</w:t>
            </w:r>
          </w:p>
        </w:tc>
        <w:tc>
          <w:tcPr>
            <w:tcW w:type="dxa" w:w="1729"/>
            <w:tcMar/>
          </w:tcPr>
          <w:p>
            <w:r>
              <w:t>Output Type</w:t>
            </w:r>
          </w:p>
        </w:tc>
      </w:tr>
      <w:tr>
        <w:tc>
          <w:tcPr>
            <w:tcW w:type="dxa" w:w="1729"/>
            <w:tcMar/>
          </w:tcPr>
          <w:p>
            <w:r>
              <w:t>Coordinator</w:t>
            </w:r>
          </w:p>
        </w:tc>
        <w:tc>
          <w:tcPr>
            <w:tcW w:type="dxa" w:w="1729"/>
            <w:tcMar/>
          </w:tcPr>
          <w:p>
            <w:r>
              <w:t>Task decomposition</w:t>
            </w:r>
          </w:p>
        </w:tc>
        <w:tc>
          <w:tcPr>
            <w:tcW w:type="dxa" w:w="1729"/>
            <w:tcMar/>
          </w:tcPr>
          <w:p>
            <w:r>
              <w:t>Planner, Dispatcher</w:t>
            </w:r>
          </w:p>
        </w:tc>
        <w:tc>
          <w:tcPr>
            <w:tcW w:type="dxa" w:w="1729"/>
            <w:tcMar/>
          </w:tcPr>
          <w:p>
            <w:r>
              <w:t>Task graph</w:t>
            </w:r>
          </w:p>
        </w:tc>
      </w:tr>
      <w:tr>
        <w:tc>
          <w:tcPr>
            <w:tcW w:type="dxa" w:w="1729"/>
            <w:tcMar/>
          </w:tcPr>
          <w:p>
            <w:r>
              <w:t>Theoretical Physicist</w:t>
            </w:r>
          </w:p>
        </w:tc>
        <w:tc>
          <w:tcPr>
            <w:tcW w:type="dxa" w:w="1729"/>
            <w:tcMar/>
          </w:tcPr>
          <w:p>
            <w:r>
              <w:t>Hamiltonian modeling</w:t>
            </w:r>
          </w:p>
        </w:tc>
        <w:tc>
          <w:tcPr>
            <w:tcW w:type="dxa" w:w="1729"/>
            <w:tcMar/>
          </w:tcPr>
          <w:p>
            <w:r>
              <w:t>M0-M2 modules</w:t>
            </w:r>
          </w:p>
        </w:tc>
        <w:tc>
          <w:tcPr>
            <w:tcW w:type="dxa" w:w="1729"/>
            <w:tcMar/>
          </w:tcPr>
          <w:p>
            <w:r>
              <w:t>Parameter JSON</w:t>
            </w:r>
          </w:p>
        </w:tc>
      </w:tr>
      <w:tr>
        <w:tc>
          <w:tcPr>
            <w:tcW w:type="dxa" w:w="1729"/>
            <w:tcMar/>
          </w:tcPr>
          <w:p>
            <w:r>
              <w:t>Noise Analyst</w:t>
            </w:r>
          </w:p>
        </w:tc>
        <w:tc>
          <w:tcPr>
            <w:tcW w:type="dxa" w:w="1729"/>
            <w:tcMar/>
          </w:tcPr>
          <w:p>
            <w:r>
              <w:t>Decoherence analysis</w:t>
            </w:r>
          </w:p>
        </w:tc>
        <w:tc>
          <w:tcPr>
            <w:tcW w:type="dxa" w:w="1729"/>
            <w:tcMar/>
          </w:tcPr>
          <w:p>
            <w:r>
              <w:t>M3 module</w:t>
            </w:r>
          </w:p>
        </w:tc>
        <w:tc>
          <w:tcPr>
            <w:tcW w:type="dxa" w:w="1729"/>
            <w:tcMar/>
          </w:tcPr>
          <w:p>
            <w:r>
              <w:t>Noise budget</w:t>
            </w:r>
          </w:p>
        </w:tc>
      </w:tr>
      <w:tr>
        <w:tc>
          <w:tcPr>
            <w:tcW w:type="dxa" w:w="1729"/>
            <w:tcMar/>
          </w:tcPr>
          <w:p>
            <w:r>
              <w:t>Diagnostician</w:t>
            </w:r>
          </w:p>
        </w:tc>
        <w:tc>
          <w:tcPr>
            <w:tcW w:type="dxa" w:w="1729"/>
            <w:tcMar/>
          </w:tcPr>
          <w:p>
            <w:r>
              <w:t>Anomaly diagnosis</w:t>
            </w:r>
          </w:p>
        </w:tc>
        <w:tc>
          <w:tcPr>
            <w:tcW w:type="dxa" w:w="1729"/>
            <w:tcMar/>
          </w:tcPr>
          <w:p>
            <w:r>
              <w:t>M4 module</w:t>
            </w:r>
          </w:p>
        </w:tc>
        <w:tc>
          <w:tcPr>
            <w:tcW w:type="dxa" w:w="1729"/>
            <w:tcMar/>
          </w:tcPr>
          <w:p>
            <w:r>
              <w:t>Ranked causes</w:t>
            </w:r>
          </w:p>
        </w:tc>
      </w:tr>
      <w:tr>
        <w:tc>
          <w:tcPr>
            <w:tcW w:type="dxa" w:w="1729"/>
            <w:tcMar/>
          </w:tcPr>
          <w:p>
            <w:r>
              <w:t>Experimentalist</w:t>
            </w:r>
          </w:p>
        </w:tc>
        <w:tc>
          <w:tcPr>
            <w:tcW w:type="dxa" w:w="1729"/>
            <w:tcMar/>
          </w:tcPr>
          <w:p>
            <w:r>
              <w:t>Experiment planning</w:t>
            </w:r>
          </w:p>
        </w:tc>
        <w:tc>
          <w:tcPr>
            <w:tcW w:type="dxa" w:w="1729"/>
            <w:tcMar/>
          </w:tcPr>
          <w:p>
            <w:r>
              <w:t>M5 module</w:t>
            </w:r>
          </w:p>
        </w:tc>
        <w:tc>
          <w:tcPr>
            <w:tcW w:type="dxa" w:w="1729"/>
            <w:tcMar/>
          </w:tcPr>
          <w:p>
            <w:r>
              <w:t>Experiment plan</w:t>
            </w:r>
          </w:p>
        </w:tc>
      </w:tr>
      <w:tr>
        <w:tc>
          <w:tcPr>
            <w:tcW w:type="dxa" w:w="1729"/>
            <w:tcMar/>
          </w:tcPr>
          <w:p>
            <w:r>
              <w:t>Simulation Engineer</w:t>
            </w:r>
          </w:p>
        </w:tc>
        <w:tc>
          <w:tcPr>
            <w:tcW w:type="dxa" w:w="1729"/>
            <w:tcMar/>
          </w:tcPr>
          <w:p>
            <w:r>
              <w:t>EM simulation</w:t>
            </w:r>
          </w:p>
        </w:tc>
        <w:tc>
          <w:tcPr>
            <w:tcW w:type="dxa" w:w="1729"/>
            <w:tcMar/>
          </w:tcPr>
          <w:p>
            <w:r>
              <w:t>M6 module, Ansys</w:t>
            </w:r>
          </w:p>
        </w:tc>
        <w:tc>
          <w:tcPr>
            <w:tcW w:type="dxa" w:w="1729"/>
            <w:tcMar/>
          </w:tcPr>
          <w:p>
            <w:r>
              <w:t>Sim results</w:t>
            </w:r>
          </w:p>
        </w:tc>
      </w:tr>
      <w:tr>
        <w:tc>
          <w:tcPr>
            <w:tcW w:type="dxa" w:w="1729"/>
            <w:tcMar/>
          </w:tcPr>
          <w:p>
            <w:r>
              <w:t>Pulse Engineer</w:t>
            </w:r>
          </w:p>
        </w:tc>
        <w:tc>
          <w:tcPr>
            <w:tcW w:type="dxa" w:w="1729"/>
            <w:tcMar/>
          </w:tcPr>
          <w:p>
            <w:r>
              <w:t>Gate optimization</w:t>
            </w:r>
          </w:p>
        </w:tc>
        <w:tc>
          <w:tcPr>
            <w:tcW w:type="dxa" w:w="1729"/>
            <w:tcMar/>
          </w:tcPr>
          <w:p>
            <w:r>
              <w:t>M7 module</w:t>
            </w:r>
          </w:p>
        </w:tc>
        <w:tc>
          <w:tcPr>
            <w:tcW w:type="dxa" w:w="1729"/>
            <w:tcMar/>
          </w:tcPr>
          <w:p>
            <w:r>
              <w:t>Pulse params</w:t>
            </w:r>
          </w:p>
        </w:tc>
      </w:tr>
      <w:tr>
        <w:tc>
          <w:tcPr>
            <w:tcW w:type="dxa" w:w="1729"/>
            <w:tcMar/>
          </w:tcPr>
          <w:p>
            <w:r>
              <w:t>Chip Designer</w:t>
            </w:r>
          </w:p>
        </w:tc>
        <w:tc>
          <w:tcPr>
            <w:tcW w:type="dxa" w:w="1729"/>
            <w:tcMar/>
          </w:tcPr>
          <w:p>
            <w:r>
              <w:t>Design synthesis</w:t>
            </w:r>
          </w:p>
        </w:tc>
        <w:tc>
          <w:tcPr>
            <w:tcW w:type="dxa" w:w="1729"/>
            <w:tcMar/>
          </w:tcPr>
          <w:p>
            <w:r>
              <w:t>M8 module</w:t>
            </w:r>
          </w:p>
        </w:tc>
        <w:tc>
          <w:tcPr>
            <w:tcW w:type="dxa" w:w="1729"/>
            <w:tcMar/>
          </w:tcPr>
          <w:p>
            <w:r>
              <w:t>Design proposal</w:t>
            </w:r>
          </w:p>
        </w:tc>
      </w:tr>
      <w:tr>
        <w:tc>
          <w:tcPr>
            <w:tcW w:type="dxa" w:w="1729"/>
            <w:tcMar/>
          </w:tcPr>
          <w:p>
            <w:r>
              <w:t>GDS Engineer</w:t>
            </w:r>
          </w:p>
        </w:tc>
        <w:tc>
          <w:tcPr>
            <w:tcW w:type="dxa" w:w="1729"/>
            <w:tcMar/>
          </w:tcPr>
          <w:p>
            <w:r>
              <w:t>Layout generation</w:t>
            </w:r>
          </w:p>
        </w:tc>
        <w:tc>
          <w:tcPr>
            <w:tcW w:type="dxa" w:w="1729"/>
            <w:tcMar/>
          </w:tcPr>
          <w:p>
            <w:r>
              <w:t>gdspy, KLayout</w:t>
            </w:r>
          </w:p>
        </w:tc>
        <w:tc>
          <w:tcPr>
            <w:tcW w:type="dxa" w:w="1729"/>
            <w:tcMar/>
          </w:tcPr>
          <w:p>
            <w:r>
              <w:t>GDS-II file</w:t>
            </w:r>
          </w:p>
        </w:tc>
      </w:tr>
      <w:tr>
        <w:tc>
          <w:tcPr>
            <w:tcW w:type="dxa" w:w="1729"/>
            <w:tcMar/>
          </w:tcPr>
          <w:p>
            <w:r>
              <w:t>Data Analyst</w:t>
            </w:r>
          </w:p>
        </w:tc>
        <w:tc>
          <w:tcPr>
            <w:tcW w:type="dxa" w:w="1729"/>
            <w:tcMar/>
          </w:tcPr>
          <w:p>
            <w:r>
              <w:t>Data processing</w:t>
            </w:r>
          </w:p>
        </w:tc>
        <w:tc>
          <w:tcPr>
            <w:tcW w:type="dxa" w:w="1729"/>
            <w:tcMar/>
          </w:tcPr>
          <w:p>
            <w:r>
              <w:t>NumPy, SciPy</w:t>
            </w:r>
          </w:p>
        </w:tc>
        <w:tc>
          <w:tcPr>
            <w:tcW w:type="dxa" w:w="1729"/>
            <w:tcMar/>
          </w:tcPr>
          <w:p>
            <w:r>
              <w:t>Analysis report</w:t>
            </w:r>
          </w:p>
        </w:tc>
      </w:tr>
      <w:tr>
        <w:tc>
          <w:tcPr>
            <w:tcW w:type="dxa" w:w="1729"/>
            <w:tcMar/>
          </w:tcPr>
          <w:p>
            <w:r>
              <w:t>Literature Agent</w:t>
            </w:r>
          </w:p>
        </w:tc>
        <w:tc>
          <w:tcPr>
            <w:tcW w:type="dxa" w:w="1729"/>
            <w:tcMar/>
          </w:tcPr>
          <w:p>
            <w:r>
              <w:t>Knowledge retrieval</w:t>
            </w:r>
          </w:p>
        </w:tc>
        <w:tc>
          <w:tcPr>
            <w:tcW w:type="dxa" w:w="1729"/>
            <w:tcMar/>
          </w:tcPr>
          <w:p>
            <w:r>
              <w:t>Semantic Scholar</w:t>
            </w:r>
          </w:p>
        </w:tc>
        <w:tc>
          <w:tcPr>
            <w:tcW w:type="dxa" w:w="1729"/>
            <w:tcMar/>
          </w:tcPr>
          <w:p>
            <w:r>
              <w:t>Citations</w:t>
            </w:r>
          </w:p>
        </w:tc>
      </w:tr>
      <w:tr>
        <w:tc>
          <w:tcPr>
            <w:tcW w:type="dxa" w:w="1729"/>
            <w:tcMar/>
          </w:tcPr>
          <w:p>
            <w:r>
              <w:t>Safety Monitor</w:t>
            </w:r>
          </w:p>
        </w:tc>
        <w:tc>
          <w:tcPr>
            <w:tcW w:type="dxa" w:w="1729"/>
            <w:tcMar/>
          </w:tcPr>
          <w:p>
            <w:r>
              <w:t>Constraint checking</w:t>
            </w:r>
          </w:p>
        </w:tc>
        <w:tc>
          <w:tcPr>
            <w:tcW w:type="dxa" w:w="1729"/>
            <w:tcMar/>
          </w:tcPr>
          <w:p>
            <w:r>
              <w:t>Validators</w:t>
            </w:r>
          </w:p>
        </w:tc>
        <w:tc>
          <w:tcPr>
            <w:tcW w:type="dxa" w:w="1729"/>
            <w:tcMar/>
          </w:tcPr>
          <w:p>
            <w:r>
              <w:t>Pass/fail</w:t>
            </w:r>
          </w:p>
        </w:tc>
      </w:tr>
    </w:tbl>
    <w:p>
      <w:pPr>
        <w:pStyle w:val="heading2"/>
      </w:pPr>
      <w:r>
        <w:t>工具调用协议与优雅降级</w:t>
      </w:r>
    </w:p>
    <w:p>
      <w:pPr>
        <w:pStyle w:val="p1a"/>
      </w:pPr>
      <w:r>
        <w:t>Communication between agents and tools follows a structured 工具调用 protocol inspired by the function-calling capabilities of modern LLMs [17]. Each 工具调用 consists of a function name, typed input parameters, and a structured JSON output. Figure 3 illustrates the 工具调用 loop. When an agent needs to perform a computation, it issues a 工具调用 with specified parameters. The Tool Layer validates the inputs, executes the computation, and returns structured results. The agent then interprets the results and decides whether to issue additional 工具调用s,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工具调用 protocol loop in AetherQ. Each agent iteratively issues 工具调用s, receives structured results, and refines its reasoning until a termination condition is met or the maximum iteration count is reached.</w:t>
      </w:r>
    </w:p>
    <w:p>
      <w:pPr>
        <w:pStyle w:val="p1a"/>
      </w:pPr>
      <w:r>
        <w:t>A critical design feature of AetherQ is its 优雅降级 mechanism. In real-world 量子芯片 research, tools may fail due to license issues, numerical convergence problems, or hardware 局限性. When a 工具调用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r>
        <w:t>The 优雅降级 mechanism operates at the adapter level within the Hands layer. Each of the ten platform adapters implements a connection check function that dynamically detects whether the target service is available. When the service is reachable, the adapter issues real API calls and returns authentic results. When unavailable, it falls back to physics-informed mock responses that maintain the correct data schema and provide analytically computed values rather than empty or random data. 例如， the simulation adapter returns approximate 本征模 frequencies computed from analytical transmon formulas when Ansys HFSS is not installed, while the CHIPMES adapter returns representative manufacturing data when the MES database is offline. This dual-mode design ensures that agents can complete their reasoning chains even in partially configured environments, a common situation in research labs where instrument availability varies day to day.</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电磁仿真s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自主心跳引擎</w:t>
      </w:r>
    </w:p>
    <w:p>
      <w:pPr>
        <w:pStyle w:val="p1a"/>
      </w:pPr>
      <w:r>
        <w:t>A distinctive feature of AetherQ is its autonomous 心跳引擎,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校准 table freshness checks, yield trend analysis against configurable thresholds, and statistical process control (SPC) violation detection. Tier L2 (12-hour cadence) generates experiment suggestions by analyzing qubit 表征 data for anomalies such as T1 values falling below expected thresholds, frequency drift patterns, or 读出保真度 degradation. Tier L3 (24-hour cadence) performs 跨域 correlation mining, seeking non-obvious relationships between design parameters, 制造 metrics, and 测量 outcomes.</w:t>
      </w:r>
    </w:p>
    <w:p>
      <w:pPr/>
      <w:r>
        <w:t>The 心跳引擎 proved particularly valuable during our experimental evaluation. In a 24-hour monitoring period, it autonomously detected an equipment alarm, flagged a yield decline below the 90% threshold, identified a qubit with degraded T1, and discovered a correlation between 校准 fidelity and 制造 yield that would typically require a data analyst to manually join datasets from the 制造执行系统 and the 测量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理论物理学家智能体与物理模块</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实验方案ning, simulation, optimization, and 设计建议 generation (bottom).</w:t>
      </w:r>
    </w:p>
    <w:p>
      <w:pPr>
        <w:pStyle w:val="heading2"/>
      </w:pPr>
      <w:r>
        <w:t>M0: Qubit Parameter Extraction</w:t>
      </w:r>
    </w:p>
    <w:p>
      <w:pPr>
        <w:pStyle w:val="p1a"/>
      </w:pPr>
      <w:r>
        <w:t>Module M0 computes the fundamental parameters of each transmon量子比特 from the chip specification. For a transmon量子比特 with Josephson energy EJ and charging energy EC, the transition frequency is given by:</w:t>
      </w:r>
    </w:p>
    <w:p>
      <w:pPr>
        <w:pStyle w:val="equation"/>
      </w:pPr>
      <w:r>
        <w:t>f_01 = (1/h) * (sqrt(8 * EJ * EC) - EC)</w:t>
      </w:r>
    </w:p>
    <w:p>
      <w:pPr>
        <w:pStyle w:val="p1a"/>
      </w:pPr>
      <w:r>
        <w:t>where h is Planck's constant. The 非谐性,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非谐性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可调耦合器, the effective 耦合强度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耦合强度s ranging from 7.59 MHz to 15.59 MHz and ZZ interactions from -18.0 kHz to -84.1 kHz. The module also performs 频率碰撞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色散位移 chi for each qubit-resonator pair:</w:t>
      </w:r>
    </w:p>
    <w:p>
      <w:pPr>
        <w:pStyle w:val="equation"/>
      </w:pPr>
      <w:r>
        <w:t>chi = g_r^2 * alpha / (Delta_r * (Delta_r + alpha))</w:t>
      </w:r>
    </w:p>
    <w:p>
      <w:pPr>
        <w:pStyle w:val="p1a"/>
      </w:pPr>
      <w:r>
        <w:t>where g_r is the qubit-resonator coupling and Delta_r is the qubit-resonator detuning. The 色散位移 determines the 测量-induced frequency shift that enables state discrimination. For the 20-qubit chip, readout resonator frequencies span 6.80 GHz to 7.18 GHz with linewidths (kappa) ranging from 0.99 MHz to 2.46 MHz and 色散位移s from -0.22 MHz to 0.44 MHz. M2 validates that the dispersive approximation remains valid (chi &lt;&lt; kappa, Delta_r) and flags cases where the 读出保真度 may be compromised by insufficient 色散位移 or excessive Purcell衰减.</w:t>
      </w:r>
    </w:p>
    <w:p>
      <w:pPr>
        <w:pStyle w:val="heading2"/>
      </w:pPr>
      <w:r>
        <w:t>M3-M5: Noise Analysis, Diagnosis, and Experiment Planning</w:t>
      </w:r>
    </w:p>
    <w:p>
      <w:pPr>
        <w:pStyle w:val="p1a"/>
      </w:pPr>
      <w:r>
        <w:t>Module M3 constructs a comprehensive 噪声预算 by decomposing the measured T1 and T2 times into 贡献 from individual noise mechanisms. For T1 relaxation, the total rate is the sum of rates from Purcell衰减, 介质损耗, two-level system (TLS) defects, 准粒子 tunneling, and radiation loss:</w:t>
      </w:r>
    </w:p>
    <w:p>
      <w:pPr>
        <w:pStyle w:val="equation"/>
      </w:pPr>
      <w:r>
        <w:t>1/T1_total = 1/T1_Purcell + 1/T1_dielectric + 1/T1_TLS + 1/T1_qp + 1/T1_radiation</w:t>
      </w:r>
    </w:p>
    <w:p>
      <w:pPr>
        <w:pStyle w:val="p1a"/>
      </w:pPr>
      <w:r>
        <w:t>Similarly, T2 退相干 combines the T1-limited 贡献 with pure 退相位 from 磁通噪声, 热光子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根因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实验方案s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电磁仿真s by generating appropriate input configurations for Q3D capacitance extraction, LOM parameter computation, EPR analysis, and 本征模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局限性, and FPGA timing precision. Module M8 synthesizes all prior analysis into a comprehensive 设计建议,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设计建议s.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制造 batch; and full chip redesign recommendations (new frequency plan, layout topology changes, packaging modifications) for the next design iteration. M7 generates Pareto-optimal solutions trading off 相干时间, gate speed, 制造 yield, and frequency crowding, explicitly quantifying the expected performance gain and 制造 risk associated with each proposed change. This structured approach ensures that design decisions are made with full awareness of the multi-dimensional trade-off landscape rather than optimizing a single metric in isolation.</w:t>
      </w:r>
    </w:p>
    <w:p>
      <w:pPr/>
      <w:r>
        <w:t>Module M8 maintains a structured 知识图谱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介质损耗), which is TESTED_BY a specific experiment type (e.g., frequency-dependent T1 测量),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r>
        <w:t>The nine-module architecture of the Theoretical Physicist agent represents a deliberate design choice to decompose complex physics reasoning into well-defined, composable units rather than relying on monolithic LLM generation. Each module has explicit input/output contracts: M0 produces DeviceGraph objects consumed by M1; M1 produces HamiltonianModel objects consumed by M2, M3, and M5; M4 produces DiagnosisReport objects consumed by M7. This separation enables independent validation of each module's outputs, targeted improvement of specific capabilities, and transparent provenance tracking. The alternative approach of prompting a general-purpose LLM to 'analyze the noise mechanisms' risks producing plausible but ungrounded explanations that conflate different physical scales and regimes. By structuring the analysis through explicit modules with defined approximation conditions and validity checks, the system provides guardrails that increase the reliability of physics-informed recommendations.</w:t>
      </w:r>
    </w:p>
    <w:p>
      <w:pPr>
        <w:pStyle w:val="heading1"/>
      </w:pPr>
      <w:r>
        <w:t>芯片设计流水线</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电磁仿真, parameter extraction, and GDS layout generation.</w:t>
      </w:r>
    </w:p>
    <w:p>
      <w:pPr>
        <w:pStyle w:val="heading2"/>
      </w:pPr>
      <w:r>
        <w:t>20比特芯片规格</w:t>
      </w:r>
    </w:p>
    <w:p>
      <w:pPr>
        <w:pStyle w:val="p1a"/>
      </w:pPr>
      <w:r>
        <w:t>The target chip consists of 20 transmon量子比特s arranged in a linear chain topology with nearest-neighbor 可调耦合器s. The design specifications include: qubit frequencies spanning 5.17 GHz to 6.71 GHz with a non-uniform distribution designed to minimize 频率碰撞s;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耦合强度s between 7.59 MHz and 15.59 MHz enabling CZ gate times below 200 ns. Table 3 summarizes the key chip specifications.</w:t>
      </w:r>
    </w:p>
    <w:p>
      <w:pPr>
        <w:pStyle w:val="tablecaption"/>
        <w:jc w:val="center"/>
      </w:pPr>
      <w:r>
        <w:t>Table 3. Key specifications of the 20-qubit transmon chip with 可调耦合器s.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r>
              <w:t>Parameter</w:t>
            </w:r>
          </w:p>
        </w:tc>
        <w:tc>
          <w:tcPr>
            <w:tcW w:type="dxa" w:w="2306"/>
            <w:tcMar/>
          </w:tcPr>
          <w:p>
            <w:r>
              <w:t>Value</w:t>
            </w:r>
          </w:p>
        </w:tc>
        <w:tc>
          <w:tcPr>
            <w:tcW w:type="dxa" w:w="2306"/>
            <w:tcMar/>
          </w:tcPr>
          <w:p>
            <w:r>
              <w:t>Unit</w:t>
            </w:r>
          </w:p>
        </w:tc>
      </w:tr>
      <w:tr>
        <w:tc>
          <w:tcPr>
            <w:tcW w:type="dxa" w:w="2306"/>
            <w:tcMar/>
          </w:tcPr>
          <w:p>
            <w:r>
              <w:t>Number of qubits</w:t>
            </w:r>
          </w:p>
        </w:tc>
        <w:tc>
          <w:tcPr>
            <w:tcW w:type="dxa" w:w="2306"/>
            <w:tcMar/>
          </w:tcPr>
          <w:p>
            <w:r>
              <w:t>20</w:t>
            </w:r>
          </w:p>
        </w:tc>
        <w:tc>
          <w:tcPr>
            <w:tcW w:type="dxa" w:w="2306"/>
            <w:tcMar/>
          </w:tcPr>
          <w:p>
            <w:r>
              <w:t>-</w:t>
            </w:r>
          </w:p>
        </w:tc>
      </w:tr>
      <w:tr>
        <w:tc>
          <w:tcPr>
            <w:tcW w:type="dxa" w:w="2306"/>
            <w:tcMar/>
          </w:tcPr>
          <w:p>
            <w:r>
              <w:t>Number of couplers</w:t>
            </w:r>
          </w:p>
        </w:tc>
        <w:tc>
          <w:tcPr>
            <w:tcW w:type="dxa" w:w="2306"/>
            <w:tcMar/>
          </w:tcPr>
          <w:p>
            <w:r>
              <w:t>19</w:t>
            </w:r>
          </w:p>
        </w:tc>
        <w:tc>
          <w:tcPr>
            <w:tcW w:type="dxa" w:w="2306"/>
            <w:tcMar/>
          </w:tcPr>
          <w:p>
            <w:r>
              <w:t>-</w:t>
            </w:r>
          </w:p>
        </w:tc>
      </w:tr>
      <w:tr>
        <w:tc>
          <w:tcPr>
            <w:tcW w:type="dxa" w:w="2306"/>
            <w:tcMar/>
          </w:tcPr>
          <w:p>
            <w:r>
              <w:t>Topology</w:t>
            </w:r>
          </w:p>
        </w:tc>
        <w:tc>
          <w:tcPr>
            <w:tcW w:type="dxa" w:w="2306"/>
            <w:tcMar/>
          </w:tcPr>
          <w:p>
            <w:r>
              <w:t>Linear chain</w:t>
            </w:r>
          </w:p>
        </w:tc>
        <w:tc>
          <w:tcPr>
            <w:tcW w:type="dxa" w:w="2306"/>
            <w:tcMar/>
          </w:tcPr>
          <w:p>
            <w:r>
              <w:t>-</w:t>
            </w:r>
          </w:p>
        </w:tc>
      </w:tr>
      <w:tr>
        <w:tc>
          <w:tcPr>
            <w:tcW w:type="dxa" w:w="2306"/>
            <w:tcMar/>
          </w:tcPr>
          <w:p>
            <w:r>
              <w:t>Qubit frequency range</w:t>
            </w:r>
          </w:p>
        </w:tc>
        <w:tc>
          <w:tcPr>
            <w:tcW w:type="dxa" w:w="2306"/>
            <w:tcMar/>
          </w:tcPr>
          <w:p>
            <w:r>
              <w:t>5.17 - 6.71</w:t>
            </w:r>
          </w:p>
        </w:tc>
        <w:tc>
          <w:tcPr>
            <w:tcW w:type="dxa" w:w="2306"/>
            <w:tcMar/>
          </w:tcPr>
          <w:p>
            <w:r>
              <w:t>GHz</w:t>
            </w:r>
          </w:p>
        </w:tc>
      </w:tr>
      <w:tr>
        <w:tc>
          <w:tcPr>
            <w:tcW w:type="dxa" w:w="2306"/>
            <w:tcMar/>
          </w:tcPr>
          <w:p>
            <w:r>
              <w:t>Anharmonicity</w:t>
            </w:r>
          </w:p>
        </w:tc>
        <w:tc>
          <w:tcPr>
            <w:tcW w:type="dxa" w:w="2306"/>
            <w:tcMar/>
          </w:tcPr>
          <w:p>
            <w:r>
              <w:t>-260</w:t>
            </w:r>
          </w:p>
        </w:tc>
        <w:tc>
          <w:tcPr>
            <w:tcW w:type="dxa" w:w="2306"/>
            <w:tcMar/>
          </w:tcPr>
          <w:p>
            <w:r>
              <w:t>MHz</w:t>
            </w:r>
          </w:p>
        </w:tc>
      </w:tr>
      <w:tr>
        <w:tc>
          <w:tcPr>
            <w:tcW w:type="dxa" w:w="2306"/>
            <w:tcMar/>
          </w:tcPr>
          <w:p>
            <w:r>
              <w:t>EJ/EC ratio</w:t>
            </w:r>
          </w:p>
        </w:tc>
        <w:tc>
          <w:tcPr>
            <w:tcW w:type="dxa" w:w="2306"/>
            <w:tcMar/>
          </w:tcPr>
          <w:p>
            <w:r>
              <w:t>54.7</w:t>
            </w:r>
          </w:p>
        </w:tc>
        <w:tc>
          <w:tcPr>
            <w:tcW w:type="dxa" w:w="2306"/>
            <w:tcMar/>
          </w:tcPr>
          <w:p>
            <w:r>
              <w:t>-</w:t>
            </w:r>
          </w:p>
        </w:tc>
      </w:tr>
      <w:tr>
        <w:tc>
          <w:tcPr>
            <w:tcW w:type="dxa" w:w="2306"/>
            <w:tcMar/>
          </w:tcPr>
          <w:p>
            <w:r>
              <w:t>Readout freq. range</w:t>
            </w:r>
          </w:p>
        </w:tc>
        <w:tc>
          <w:tcPr>
            <w:tcW w:type="dxa" w:w="2306"/>
            <w:tcMar/>
          </w:tcPr>
          <w:p>
            <w:r>
              <w:t>6.80 - 7.18</w:t>
            </w:r>
          </w:p>
        </w:tc>
        <w:tc>
          <w:tcPr>
            <w:tcW w:type="dxa" w:w="2306"/>
            <w:tcMar/>
          </w:tcPr>
          <w:p>
            <w:r>
              <w:t>GHz</w:t>
            </w:r>
          </w:p>
        </w:tc>
      </w:tr>
      <w:tr>
        <w:tc>
          <w:tcPr>
            <w:tcW w:type="dxa" w:w="2306"/>
            <w:tcMar/>
          </w:tcPr>
          <w:p>
            <w:r>
              <w:t>Readout kappa range</w:t>
            </w:r>
          </w:p>
        </w:tc>
        <w:tc>
          <w:tcPr>
            <w:tcW w:type="dxa" w:w="2306"/>
            <w:tcMar/>
          </w:tcPr>
          <w:p>
            <w:r>
              <w:t>0.99 - 2.46</w:t>
            </w:r>
          </w:p>
        </w:tc>
        <w:tc>
          <w:tcPr>
            <w:tcW w:type="dxa" w:w="2306"/>
            <w:tcMar/>
          </w:tcPr>
          <w:p>
            <w:r>
              <w:t>MHz</w:t>
            </w:r>
          </w:p>
        </w:tc>
      </w:tr>
      <w:tr>
        <w:tc>
          <w:tcPr>
            <w:tcW w:type="dxa" w:w="2306"/>
            <w:tcMar/>
          </w:tcPr>
          <w:p>
            <w:r>
              <w:t>Coupling strength range</w:t>
            </w:r>
          </w:p>
        </w:tc>
        <w:tc>
          <w:tcPr>
            <w:tcW w:type="dxa" w:w="2306"/>
            <w:tcMar/>
          </w:tcPr>
          <w:p>
            <w:r>
              <w:t>7.59 - 15.59</w:t>
            </w:r>
          </w:p>
        </w:tc>
        <w:tc>
          <w:tcPr>
            <w:tcW w:type="dxa" w:w="2306"/>
            <w:tcMar/>
          </w:tcPr>
          <w:p>
            <w:r>
              <w:t>MHz</w:t>
            </w:r>
          </w:p>
        </w:tc>
      </w:tr>
      <w:tr>
        <w:tc>
          <w:tcPr>
            <w:tcW w:type="dxa" w:w="2306"/>
            <w:tcMar/>
          </w:tcPr>
          <w:p>
            <w:r>
              <w:t>Residual ZZ range</w:t>
            </w:r>
          </w:p>
        </w:tc>
        <w:tc>
          <w:tcPr>
            <w:tcW w:type="dxa" w:w="2306"/>
            <w:tcMar/>
          </w:tcPr>
          <w:p>
            <w:r>
              <w:t>-18.0 to -84.1</w:t>
            </w:r>
          </w:p>
        </w:tc>
        <w:tc>
          <w:tcPr>
            <w:tcW w:type="dxa" w:w="2306"/>
            <w:tcMar/>
          </w:tcPr>
          <w:p>
            <w:r>
              <w:t>kHz</w:t>
            </w:r>
          </w:p>
        </w:tc>
      </w:tr>
    </w:tbl>
    <w:p>
      <w:pPr>
        <w:pStyle w:val="heading2"/>
      </w:pPr>
      <w:r>
        <w:t>工作流与GDS生成</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频率碰撞s and coupling constraints. The Chip Designer agent then invokes M8 to generate a 设计建议 with optimized frequency planning and layout modifications. The Simulation Engineer orchestrates 电磁仿真s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制造 process. Throughout this pipeline, the Safety Monitor validates that all intermediate results satisfy physical constraints, such as minimum feature sizes, maximum current densities, and 频率碰撞 margins.</w:t>
      </w:r>
    </w:p>
    <w:p>
      <w:pPr>
        <w:pStyle w:val="p1a"/>
      </w:pPr>
      <w:r>
        <w:t>The GDS generation module implements a parametric layout approach where each circuit element (transmon, coupler, resonator, control line) is defined by a template with adjustable geometric parameters. The 约瑟夫森结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耦合强度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制造 processes.</w:t>
      </w:r>
    </w:p>
    <w:p>
      <w:pPr>
        <w:pStyle w:val="heading1"/>
      </w:pPr>
      <w:r>
        <w:t>实验与结果</w:t>
      </w:r>
    </w:p>
    <w:p>
      <w:pPr>
        <w:pStyle w:val="p1a"/>
      </w:pPr>
      <w:r>
        <w:t>我们评估 AetherQ through five experiments designed to assess 多智能体 collaboration effectiveness. All experiments use the actual system implementation with 12 agents, 140 registered tools, and the keyword-based routing algorithm, running on a single workstation (Intel i7, 32 GB RAM, Python 3.11). The experiments systematically evaluate 任务完成 advantage, 路由准确率, 工具调用 chain orchestration, cross-agent information flow, and autonomous discovery.</w:t>
      </w:r>
    </w:p>
    <w:p>
      <w:pPr/>
      <w:r>
        <w:t>The experimental methodology follows the evaluation framework established by El Agente Q [65], which benchmarks agent systems on tasks of varying complexity. 然而， our evaluation differs in two important respects. First, we focus on inter-agent collaboration metrics rather than individual 任务完成, measuring information flow across agent boundaries. Second, 我们评估 on 量子硬件 R&amp;D tasks rather than computational chemistry exercises, requiring integration with physical platforms (EDA tools, manufacturing databases, 测量 systems) rather than purely computational workflows. This distinction is critical because hardware-oriented tasks involve irreversible physical operations (制造, cooldown) where incorrect agent recommendations have material consequences, necessitating higher standards for tool selection 准确率 and reasoning chain validation.</w:t>
      </w:r>
    </w:p>
    <w:p>
      <w:pPr>
        <w:pStyle w:val="heading2"/>
      </w:pPr>
      <w:r>
        <w:t>Experiment 1: 多智能体与单智能体任务完成对比</w:t>
      </w:r>
    </w:p>
    <w:p>
      <w:pPr>
        <w:pStyle w:val="p1a"/>
      </w:pPr>
      <w:r>
        <w:t>Task. We compare 任务完成 performance between a single general-purpose agent and AetherQ's 12 specialized agents on 10 tasks spanning four complexity levels (simple, medium, complex, very complex) and requiring 1-4 domain specializations. Tasks range from simple queries ('Query qubit Q1 frequency') to complex multi-domain workflows ('Design chip, simulate, diagnose, and optimize').</w:t>
      </w:r>
    </w:p>
    <w:p>
      <w:pPr/>
      <w:r>
        <w:t>Method. The 单智能体 baseline uses a general-purpose system prompt with access to all 140 tools but no domain specialization. The 多智能体 configuration routes each task through the orchestrator to the appropriate specialized agent(s). We measure task 成功率, tool selection 准确率, and average reasoning rounds needed.</w:t>
      </w:r>
    </w:p>
    <w:p>
      <w:pPr/>
      <w:r>
        <w:t>Results. The 多智能体 system achieves 100% task 成功率 compared to 90% for the single agent. Tool selection 准确率 improves from 91.3% to 98.6%, and average reasoning rounds decrease from 6.7 to 3.9 (a 42% reduction). The single agent fails on two very complex tasks requiring 4-domain coordination, where it selects incorrect tools due to the large action space (140 tools without domain filtering).</w:t>
      </w:r>
    </w:p>
    <w:p>
      <w:pPr>
        <w:jc w:val="center"/>
      </w:pPr>
      <w:r>
        <w:drawing>
          <wp:inline xmlns:a="http://schemas.openxmlformats.org/drawingml/2006/main" xmlns:pic="http://schemas.openxmlformats.org/drawingml/2006/picture">
            <wp:extent cx="5029200" cy="1825171"/>
            <wp:docPr id="6" name="Picture 6"/>
            <wp:cNvGraphicFramePr>
              <a:graphicFrameLocks noChangeAspect="1"/>
            </wp:cNvGraphicFramePr>
            <a:graphic>
              <a:graphicData uri="http://schemas.openxmlformats.org/drawingml/2006/picture">
                <pic:pic>
                  <pic:nvPicPr>
                    <pic:cNvPr id="0" name="fig5_single_vs_multi.png"/>
                    <pic:cNvPicPr/>
                  </pic:nvPicPr>
                  <pic:blipFill>
                    <a:blip r:embed="rId26"/>
                    <a:stretch>
                      <a:fillRect/>
                    </a:stretch>
                  </pic:blipFill>
                  <pic:spPr>
                    <a:xfrm>
                      <a:off x="0" y="0"/>
                      <a:ext cx="5029200" cy="1825171"/>
                    </a:xfrm>
                    <a:prstGeom prst="rect"/>
                  </pic:spPr>
                </pic:pic>
              </a:graphicData>
            </a:graphic>
          </wp:inline>
        </w:drawing>
      </w:r>
    </w:p>
    <w:p>
      <w:pPr>
        <w:pStyle w:val="figurecaption"/>
      </w:pPr>
      <w:r>
        <w:t>Fig. 5. Single-agent vs. 多智能体 comparison across 成功率, tool 准确率, and average reasoning rounds. The 多智能体 system achieves higher 准确率 with fewer rounds.</w:t>
      </w:r>
    </w:p>
    <w:p>
      <w:pPr>
        <w:jc w:val="center"/>
      </w:pPr>
      <w:r>
        <w:t>Analysis. The 多智能体 advantage is most pronounced for complex tasks requiring multiple domain specializations. By restricting each agent's tool access through prefix-based permissions, the effective action space shrinks from 140 to 4-15 tools per agent, substantially reducing selection errors. The round reduction arises because specialized agents can directly invoke the correct tools without exploratory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r>
              <w:t>Qubit</w:t>
            </w:r>
          </w:p>
        </w:tc>
        <w:tc>
          <w:tcPr>
            <w:tcW w:type="dxa" w:w="1153"/>
            <w:tcMar/>
          </w:tcPr>
          <w:p>
            <w:r>
              <w:t>f_01 (GHz)</w:t>
            </w:r>
          </w:p>
        </w:tc>
        <w:tc>
          <w:tcPr>
            <w:tcW w:type="dxa" w:w="1153"/>
            <w:tcMar/>
          </w:tcPr>
          <w:p>
            <w:r>
              <w:t>alpha (MHz)</w:t>
            </w:r>
          </w:p>
        </w:tc>
        <w:tc>
          <w:tcPr>
            <w:tcW w:type="dxa" w:w="1153"/>
            <w:tcMar/>
          </w:tcPr>
          <w:p>
            <w:r>
              <w:t>EJ (GHz)</w:t>
            </w:r>
          </w:p>
        </w:tc>
        <w:tc>
          <w:tcPr>
            <w:tcW w:type="dxa" w:w="1153"/>
            <w:tcMar/>
          </w:tcPr>
          <w:p>
            <w:r>
              <w:t>EC (GHz)</w:t>
            </w:r>
          </w:p>
        </w:tc>
        <w:tc>
          <w:tcPr>
            <w:tcW w:type="dxa" w:w="1153"/>
            <w:tcMar/>
          </w:tcPr>
          <w:p>
            <w:r>
              <w:t>EJ/EC</w:t>
            </w:r>
          </w:p>
        </w:tc>
      </w:tr>
      <w:tr>
        <w:tc>
          <w:tcPr>
            <w:tcW w:type="dxa" w:w="1153"/>
            <w:tcMar/>
          </w:tcPr>
          <w:p>
            <w:r>
              <w:t>Q1</w:t>
            </w:r>
          </w:p>
        </w:tc>
        <w:tc>
          <w:tcPr>
            <w:tcW w:type="dxa" w:w="1153"/>
            <w:tcMar/>
          </w:tcPr>
          <w:p>
            <w:r>
              <w:t>5.1739</w:t>
            </w:r>
          </w:p>
        </w:tc>
        <w:tc>
          <w:tcPr>
            <w:tcW w:type="dxa" w:w="1153"/>
            <w:tcMar/>
          </w:tcPr>
          <w:p>
            <w:r>
              <w:t>-260.0</w:t>
            </w:r>
          </w:p>
        </w:tc>
        <w:tc>
          <w:tcPr>
            <w:tcW w:type="dxa" w:w="1153"/>
            <w:tcMar/>
          </w:tcPr>
          <w:p>
            <w:r>
              <w:t>13.778</w:t>
            </w:r>
          </w:p>
        </w:tc>
        <w:tc>
          <w:tcPr>
            <w:tcW w:type="dxa" w:w="1153"/>
            <w:tcMar/>
          </w:tcPr>
          <w:p>
            <w:r>
              <w:t>0.26</w:t>
            </w:r>
          </w:p>
        </w:tc>
        <w:tc>
          <w:tcPr>
            <w:tcW w:type="dxa" w:w="1153"/>
            <w:tcMar/>
          </w:tcPr>
          <w:p>
            <w:r>
              <w:t>54.7</w:t>
            </w:r>
          </w:p>
        </w:tc>
      </w:tr>
      <w:tr>
        <w:tc>
          <w:tcPr>
            <w:tcW w:type="dxa" w:w="1153"/>
            <w:tcMar/>
          </w:tcPr>
          <w:p>
            <w:r>
              <w:t>Q2</w:t>
            </w:r>
          </w:p>
        </w:tc>
        <w:tc>
          <w:tcPr>
            <w:tcW w:type="dxa" w:w="1153"/>
            <w:tcMar/>
          </w:tcPr>
          <w:p>
            <w:r>
              <w:t>5.2154</w:t>
            </w:r>
          </w:p>
        </w:tc>
        <w:tc>
          <w:tcPr>
            <w:tcW w:type="dxa" w:w="1153"/>
            <w:tcMar/>
          </w:tcPr>
          <w:p>
            <w:r>
              <w:t>-260.0</w:t>
            </w:r>
          </w:p>
        </w:tc>
        <w:tc>
          <w:tcPr>
            <w:tcW w:type="dxa" w:w="1153"/>
            <w:tcMar/>
          </w:tcPr>
          <w:p>
            <w:r>
              <w:t>14.166</w:t>
            </w:r>
          </w:p>
        </w:tc>
        <w:tc>
          <w:tcPr>
            <w:tcW w:type="dxa" w:w="1153"/>
            <w:tcMar/>
          </w:tcPr>
          <w:p>
            <w:r>
              <w:t>0.26</w:t>
            </w:r>
          </w:p>
        </w:tc>
        <w:tc>
          <w:tcPr>
            <w:tcW w:type="dxa" w:w="1153"/>
            <w:tcMar/>
          </w:tcPr>
          <w:p>
            <w:r>
              <w:t>54.7</w:t>
            </w:r>
          </w:p>
        </w:tc>
      </w:tr>
      <w:tr>
        <w:tc>
          <w:tcPr>
            <w:tcW w:type="dxa" w:w="1153"/>
            <w:tcMar/>
          </w:tcPr>
          <w:p>
            <w:r>
              <w:t>Q3</w:t>
            </w:r>
          </w:p>
        </w:tc>
        <w:tc>
          <w:tcPr>
            <w:tcW w:type="dxa" w:w="1153"/>
            <w:tcMar/>
          </w:tcPr>
          <w:p>
            <w:r>
              <w:t>5.2361</w:t>
            </w:r>
          </w:p>
        </w:tc>
        <w:tc>
          <w:tcPr>
            <w:tcW w:type="dxa" w:w="1153"/>
            <w:tcMar/>
          </w:tcPr>
          <w:p>
            <w:r>
              <w:t>-260.0</w:t>
            </w:r>
          </w:p>
        </w:tc>
        <w:tc>
          <w:tcPr>
            <w:tcW w:type="dxa" w:w="1153"/>
            <w:tcMar/>
          </w:tcPr>
          <w:p>
            <w:r>
              <w:t>14.349</w:t>
            </w:r>
          </w:p>
        </w:tc>
        <w:tc>
          <w:tcPr>
            <w:tcW w:type="dxa" w:w="1153"/>
            <w:tcMar/>
          </w:tcPr>
          <w:p>
            <w:r>
              <w:t>0.26</w:t>
            </w:r>
          </w:p>
        </w:tc>
        <w:tc>
          <w:tcPr>
            <w:tcW w:type="dxa" w:w="1153"/>
            <w:tcMar/>
          </w:tcPr>
          <w:p>
            <w:r>
              <w:t>54.7</w:t>
            </w:r>
          </w:p>
        </w:tc>
      </w:tr>
      <w:tr>
        <w:tc>
          <w:tcPr>
            <w:tcW w:type="dxa" w:w="1153"/>
            <w:tcMar/>
          </w:tcPr>
          <w:p>
            <w:r>
              <w:t>Q4</w:t>
            </w:r>
          </w:p>
        </w:tc>
        <w:tc>
          <w:tcPr>
            <w:tcW w:type="dxa" w:w="1153"/>
            <w:tcMar/>
          </w:tcPr>
          <w:p>
            <w:r>
              <w:t>5.3487</w:t>
            </w:r>
          </w:p>
        </w:tc>
        <w:tc>
          <w:tcPr>
            <w:tcW w:type="dxa" w:w="1153"/>
            <w:tcMar/>
          </w:tcPr>
          <w:p>
            <w:r>
              <w:t>-260.0</w:t>
            </w:r>
          </w:p>
        </w:tc>
        <w:tc>
          <w:tcPr>
            <w:tcW w:type="dxa" w:w="1153"/>
            <w:tcMar/>
          </w:tcPr>
          <w:p>
            <w:r>
              <w:t>13.918</w:t>
            </w:r>
          </w:p>
        </w:tc>
        <w:tc>
          <w:tcPr>
            <w:tcW w:type="dxa" w:w="1153"/>
            <w:tcMar/>
          </w:tcPr>
          <w:p>
            <w:r>
              <w:t>0.26</w:t>
            </w:r>
          </w:p>
        </w:tc>
        <w:tc>
          <w:tcPr>
            <w:tcW w:type="dxa" w:w="1153"/>
            <w:tcMar/>
          </w:tcPr>
          <w:p>
            <w:r>
              <w:t>54.7</w:t>
            </w:r>
          </w:p>
        </w:tc>
      </w:tr>
      <w:tr>
        <w:tc>
          <w:tcPr>
            <w:tcW w:type="dxa" w:w="1153"/>
            <w:tcMar/>
          </w:tcPr>
          <w:p>
            <w:r>
              <w:t>Q5</w:t>
            </w:r>
          </w:p>
        </w:tc>
        <w:tc>
          <w:tcPr>
            <w:tcW w:type="dxa" w:w="1153"/>
            <w:tcMar/>
          </w:tcPr>
          <w:p>
            <w:r>
              <w:t>5.5925</w:t>
            </w:r>
          </w:p>
        </w:tc>
        <w:tc>
          <w:tcPr>
            <w:tcW w:type="dxa" w:w="1153"/>
            <w:tcMar/>
          </w:tcPr>
          <w:p>
            <w:r>
              <w:t>-260.0</w:t>
            </w:r>
          </w:p>
        </w:tc>
        <w:tc>
          <w:tcPr>
            <w:tcW w:type="dxa" w:w="1153"/>
            <w:tcMar/>
          </w:tcPr>
          <w:p>
            <w:r>
              <w:t>14.284</w:t>
            </w:r>
          </w:p>
        </w:tc>
        <w:tc>
          <w:tcPr>
            <w:tcW w:type="dxa" w:w="1153"/>
            <w:tcMar/>
          </w:tcPr>
          <w:p>
            <w:r>
              <w:t>0.26</w:t>
            </w:r>
          </w:p>
        </w:tc>
        <w:tc>
          <w:tcPr>
            <w:tcW w:type="dxa" w:w="1153"/>
            <w:tcMar/>
          </w:tcPr>
          <w:p>
            <w:r>
              <w:t>54.7</w:t>
            </w:r>
          </w:p>
        </w:tc>
      </w:tr>
      <w:tr>
        <w:tc>
          <w:tcPr>
            <w:tcW w:type="dxa" w:w="1153"/>
            <w:tcMar/>
          </w:tcPr>
          <w:p>
            <w:r>
              <w:t>Q6</w:t>
            </w:r>
          </w:p>
        </w:tc>
        <w:tc>
          <w:tcPr>
            <w:tcW w:type="dxa" w:w="1153"/>
            <w:tcMar/>
          </w:tcPr>
          <w:p>
            <w:r>
              <w:t>5.5336</w:t>
            </w:r>
          </w:p>
        </w:tc>
        <w:tc>
          <w:tcPr>
            <w:tcW w:type="dxa" w:w="1153"/>
            <w:tcMar/>
          </w:tcPr>
          <w:p>
            <w:r>
              <w:t>-260.0</w:t>
            </w:r>
          </w:p>
        </w:tc>
        <w:tc>
          <w:tcPr>
            <w:tcW w:type="dxa" w:w="1153"/>
            <w:tcMar/>
          </w:tcPr>
          <w:p>
            <w:r>
              <w:t>14.788</w:t>
            </w:r>
          </w:p>
        </w:tc>
        <w:tc>
          <w:tcPr>
            <w:tcW w:type="dxa" w:w="1153"/>
            <w:tcMar/>
          </w:tcPr>
          <w:p>
            <w:r>
              <w:t>0.26</w:t>
            </w:r>
          </w:p>
        </w:tc>
        <w:tc>
          <w:tcPr>
            <w:tcW w:type="dxa" w:w="1153"/>
            <w:tcMar/>
          </w:tcPr>
          <w:p>
            <w:r>
              <w:t>54.7</w:t>
            </w:r>
          </w:p>
        </w:tc>
      </w:tr>
      <w:tr>
        <w:tc>
          <w:tcPr>
            <w:tcW w:type="dxa" w:w="1153"/>
            <w:tcMar/>
          </w:tcPr>
          <w:p>
            <w:r>
              <w:t>Q7</w:t>
            </w:r>
          </w:p>
        </w:tc>
        <w:tc>
          <w:tcPr>
            <w:tcW w:type="dxa" w:w="1153"/>
            <w:tcMar/>
          </w:tcPr>
          <w:p>
            <w:r>
              <w:t>5.6542</w:t>
            </w:r>
          </w:p>
        </w:tc>
        <w:tc>
          <w:tcPr>
            <w:tcW w:type="dxa" w:w="1153"/>
            <w:tcMar/>
          </w:tcPr>
          <w:p>
            <w:r>
              <w:t>-260.0</w:t>
            </w:r>
          </w:p>
        </w:tc>
        <w:tc>
          <w:tcPr>
            <w:tcW w:type="dxa" w:w="1153"/>
            <w:tcMar/>
          </w:tcPr>
          <w:p>
            <w:r>
              <w:t>14.081</w:t>
            </w:r>
          </w:p>
        </w:tc>
        <w:tc>
          <w:tcPr>
            <w:tcW w:type="dxa" w:w="1153"/>
            <w:tcMar/>
          </w:tcPr>
          <w:p>
            <w:r>
              <w:t>0.26</w:t>
            </w:r>
          </w:p>
        </w:tc>
        <w:tc>
          <w:tcPr>
            <w:tcW w:type="dxa" w:w="1153"/>
            <w:tcMar/>
          </w:tcPr>
          <w:p>
            <w:r>
              <w:t>54.7</w:t>
            </w:r>
          </w:p>
        </w:tc>
      </w:tr>
      <w:tr>
        <w:tc>
          <w:tcPr>
            <w:tcW w:type="dxa" w:w="1153"/>
            <w:tcMar/>
          </w:tcPr>
          <w:p>
            <w:r>
              <w:t>Q8</w:t>
            </w:r>
          </w:p>
        </w:tc>
        <w:tc>
          <w:tcPr>
            <w:tcW w:type="dxa" w:w="1153"/>
            <w:tcMar/>
          </w:tcPr>
          <w:p>
            <w:r>
              <w:t>5.7827</w:t>
            </w:r>
          </w:p>
        </w:tc>
        <w:tc>
          <w:tcPr>
            <w:tcW w:type="dxa" w:w="1153"/>
            <w:tcMar/>
          </w:tcPr>
          <w:p>
            <w:r>
              <w:t>-260.0</w:t>
            </w:r>
          </w:p>
        </w:tc>
        <w:tc>
          <w:tcPr>
            <w:tcW w:type="dxa" w:w="1153"/>
            <w:tcMar/>
          </w:tcPr>
          <w:p>
            <w:r>
              <w:t>14.350</w:t>
            </w:r>
          </w:p>
        </w:tc>
        <w:tc>
          <w:tcPr>
            <w:tcW w:type="dxa" w:w="1153"/>
            <w:tcMar/>
          </w:tcPr>
          <w:p>
            <w:r>
              <w:t>0.26</w:t>
            </w:r>
          </w:p>
        </w:tc>
        <w:tc>
          <w:tcPr>
            <w:tcW w:type="dxa" w:w="1153"/>
            <w:tcMar/>
          </w:tcPr>
          <w:p>
            <w:r>
              <w:t>54.7</w:t>
            </w:r>
          </w:p>
        </w:tc>
      </w:tr>
      <w:tr>
        <w:tc>
          <w:tcPr>
            <w:tcW w:type="dxa" w:w="1153"/>
            <w:tcMar/>
          </w:tcPr>
          <w:p>
            <w:r>
              <w:t>Q9</w:t>
            </w:r>
          </w:p>
        </w:tc>
        <w:tc>
          <w:tcPr>
            <w:tcW w:type="dxa" w:w="1153"/>
            <w:tcMar/>
          </w:tcPr>
          <w:p>
            <w:r>
              <w:t>5.8425</w:t>
            </w:r>
          </w:p>
        </w:tc>
        <w:tc>
          <w:tcPr>
            <w:tcW w:type="dxa" w:w="1153"/>
            <w:tcMar/>
          </w:tcPr>
          <w:p>
            <w:r>
              <w:t>-260.0</w:t>
            </w:r>
          </w:p>
        </w:tc>
        <w:tc>
          <w:tcPr>
            <w:tcW w:type="dxa" w:w="1153"/>
            <w:tcMar/>
          </w:tcPr>
          <w:p>
            <w:r>
              <w:t>13.922</w:t>
            </w:r>
          </w:p>
        </w:tc>
        <w:tc>
          <w:tcPr>
            <w:tcW w:type="dxa" w:w="1153"/>
            <w:tcMar/>
          </w:tcPr>
          <w:p>
            <w:r>
              <w:t>0.26</w:t>
            </w:r>
          </w:p>
        </w:tc>
        <w:tc>
          <w:tcPr>
            <w:tcW w:type="dxa" w:w="1153"/>
            <w:tcMar/>
          </w:tcPr>
          <w:p>
            <w:r>
              <w:t>54.7</w:t>
            </w:r>
          </w:p>
        </w:tc>
      </w:tr>
      <w:tr>
        <w:tc>
          <w:tcPr>
            <w:tcW w:type="dxa" w:w="1153"/>
            <w:tcMar/>
          </w:tcPr>
          <w:p>
            <w:r>
              <w:t>Q10</w:t>
            </w:r>
          </w:p>
        </w:tc>
        <w:tc>
          <w:tcPr>
            <w:tcW w:type="dxa" w:w="1153"/>
            <w:tcMar/>
          </w:tcPr>
          <w:p>
            <w:r>
              <w:t>5.8950</w:t>
            </w:r>
          </w:p>
        </w:tc>
        <w:tc>
          <w:tcPr>
            <w:tcW w:type="dxa" w:w="1153"/>
            <w:tcMar/>
          </w:tcPr>
          <w:p>
            <w:r>
              <w:t>-260.0</w:t>
            </w:r>
          </w:p>
        </w:tc>
        <w:tc>
          <w:tcPr>
            <w:tcW w:type="dxa" w:w="1153"/>
            <w:tcMar/>
          </w:tcPr>
          <w:p>
            <w:r>
              <w:t>14.337</w:t>
            </w:r>
          </w:p>
        </w:tc>
        <w:tc>
          <w:tcPr>
            <w:tcW w:type="dxa" w:w="1153"/>
            <w:tcMar/>
          </w:tcPr>
          <w:p>
            <w:r>
              <w:t>0.26</w:t>
            </w:r>
          </w:p>
        </w:tc>
        <w:tc>
          <w:tcPr>
            <w:tcW w:type="dxa" w:w="1153"/>
            <w:tcMar/>
          </w:tcPr>
          <w:p>
            <w:r>
              <w:t>54.7</w:t>
            </w:r>
          </w:p>
        </w:tc>
      </w:tr>
    </w:tbl>
    <w:p>
      <w:pPr>
        <w:pStyle w:val="heading2"/>
      </w:pPr>
      <w:r>
        <w:t>Experiment 2: 意图路由准确率</w:t>
      </w:r>
    </w:p>
    <w:p>
      <w:pPr>
        <w:pStyle w:val="p1a"/>
      </w:pPr>
      <w:r>
        <w:t>Task. 我们评估 the keyword-based 意图路由 mechanism on 50 diverse user queries spanning all 10 agent domains, with ground-truth labels assigned by domain experts. Queries are formulated in English and cover the full spectrum from simple factual questions to complex multi-step requests.</w:t>
      </w:r>
    </w:p>
    <w:p>
      <w:pPr/>
      <w:r>
        <w:t>Results. The routing mechanism achieves 84.0% overall 准确率 (42/50). Six agents achieve 100% 路由准确率: chip_designer, simulation_engineer, algorithm_engineer, measure_scientist, knowledge_engineer, and project_manager. The lowest 准确率 is for device_ops (66.7%) and theorist (73.3%), where ambiguous 跨域 queries create legitimate routing conflicts.</w:t>
      </w:r>
    </w:p>
    <w:p>
      <w:pPr>
        <w:jc w:val="center"/>
      </w:pPr>
      <w:r>
        <w:drawing>
          <wp:inline xmlns:a="http://schemas.openxmlformats.org/drawingml/2006/main" xmlns:pic="http://schemas.openxmlformats.org/drawingml/2006/picture">
            <wp:extent cx="5029200" cy="2126343"/>
            <wp:docPr id="7" name="Picture 7"/>
            <wp:cNvGraphicFramePr>
              <a:graphicFrameLocks noChangeAspect="1"/>
            </wp:cNvGraphicFramePr>
            <a:graphic>
              <a:graphicData uri="http://schemas.openxmlformats.org/drawingml/2006/picture">
                <pic:pic>
                  <pic:nvPicPr>
                    <pic:cNvPr id="0" name="fig6_routing_accuracy.png"/>
                    <pic:cNvPicPr/>
                  </pic:nvPicPr>
                  <pic:blipFill>
                    <a:blip r:embed="rId27"/>
                    <a:stretch>
                      <a:fillRect/>
                    </a:stretch>
                  </pic:blipFill>
                  <pic:spPr>
                    <a:xfrm>
                      <a:off x="0" y="0"/>
                      <a:ext cx="5029200" cy="2126343"/>
                    </a:xfrm>
                    <a:prstGeom prst="rect"/>
                  </pic:spPr>
                </pic:pic>
              </a:graphicData>
            </a:graphic>
          </wp:inline>
        </w:drawing>
      </w:r>
    </w:p>
    <w:p>
      <w:pPr>
        <w:pStyle w:val="figurecaption"/>
      </w:pPr>
      <w:r>
        <w:t>Fig. 6. Intent 路由准确率 per agent across 50 test queries. Dashed line shows overall 准确率. Green bars indicate &gt;=80% 准确率.</w:t>
      </w:r>
    </w:p>
    <w:p>
      <w:pPr/>
      <w:r>
        <w:t>Analysis. Routing errors concentrate on inherently ambiguous queries where multiple agents have legitimate claim. 例如， 'What is the T1 of Q3?' could reasonably be routed to the theorist (for theoretical prediction), the 测量 scientist (for experimental 测量), or the data analyst (for database lookup). Rather than viewing these as failures, they highlight the need for collaborative routing where multiple agents can contribute partial answers. The keyword-based approach provides a strong baseline that is interpretable and maintainable, while leaving room for learned routing models in 未来工作.</w:t>
      </w:r>
    </w:p>
    <w:p>
      <w:pPr>
        <w:pStyle w:val="heading2"/>
      </w:pPr>
      <w:r>
        <w:t>Experiment 3: 工具调用链编排</w:t>
      </w:r>
    </w:p>
    <w:p>
      <w:pPr>
        <w:pStyle w:val="p1a"/>
        <w:jc w:val="center"/>
      </w:pPr>
      <w:r>
        <w:t>Task. We test AetherQ's ability to execute multi-step 工具调用 chains of varying depth, from single-tool queries to 8-step 端到端 design-simulate-validate pipelines. The system registers 140 tools across 19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r>
              <w:t>Mechanism</w:t>
            </w:r>
          </w:p>
        </w:tc>
        <w:tc>
          <w:tcPr>
            <w:tcW w:type="dxa" w:w="1729"/>
            <w:tcMar/>
          </w:tcPr>
          <w:p>
            <w:r>
              <w:t>T1/T2 贡献 (us)</w:t>
            </w:r>
          </w:p>
        </w:tc>
        <w:tc>
          <w:tcPr>
            <w:tcW w:type="dxa" w:w="1729"/>
            <w:tcMar/>
          </w:tcPr>
          <w:p>
            <w:r>
              <w:t>Rate 贡献 (%)</w:t>
            </w:r>
          </w:p>
        </w:tc>
        <w:tc>
          <w:tcPr>
            <w:tcW w:type="dxa" w:w="1729"/>
            <w:tcMar/>
          </w:tcPr>
          <w:p>
            <w:r>
              <w:t>Category</w:t>
            </w:r>
          </w:p>
        </w:tc>
      </w:tr>
      <w:tr>
        <w:tc>
          <w:tcPr>
            <w:tcW w:type="dxa" w:w="1729"/>
            <w:tcMar/>
          </w:tcPr>
          <w:p>
            <w:r>
              <w:t>Dielectric loss</w:t>
            </w:r>
          </w:p>
        </w:tc>
        <w:tc>
          <w:tcPr>
            <w:tcW w:type="dxa" w:w="1729"/>
            <w:tcMar/>
          </w:tcPr>
          <w:p>
            <w:r>
              <w:t>76.0</w:t>
            </w:r>
          </w:p>
        </w:tc>
        <w:tc>
          <w:tcPr>
            <w:tcW w:type="dxa" w:w="1729"/>
            <w:tcMar/>
          </w:tcPr>
          <w:p>
            <w:r>
              <w:t>39.5</w:t>
            </w:r>
          </w:p>
        </w:tc>
        <w:tc>
          <w:tcPr>
            <w:tcW w:type="dxa" w:w="1729"/>
            <w:tcMar/>
          </w:tcPr>
          <w:p>
            <w:r>
              <w:t>T1 limiter</w:t>
            </w:r>
          </w:p>
        </w:tc>
      </w:tr>
      <w:tr>
        <w:tc>
          <w:tcPr>
            <w:tcW w:type="dxa" w:w="1729"/>
            <w:tcMar/>
          </w:tcPr>
          <w:p>
            <w:r>
              <w:t>TLS defects</w:t>
            </w:r>
          </w:p>
        </w:tc>
        <w:tc>
          <w:tcPr>
            <w:tcW w:type="dxa" w:w="1729"/>
            <w:tcMar/>
          </w:tcPr>
          <w:p>
            <w:r>
              <w:t>115.6</w:t>
            </w:r>
          </w:p>
        </w:tc>
        <w:tc>
          <w:tcPr>
            <w:tcW w:type="dxa" w:w="1729"/>
            <w:tcMar/>
          </w:tcPr>
          <w:p>
            <w:r>
              <w:t>25.9</w:t>
            </w:r>
          </w:p>
        </w:tc>
        <w:tc>
          <w:tcPr>
            <w:tcW w:type="dxa" w:w="1729"/>
            <w:tcMar/>
          </w:tcPr>
          <w:p>
            <w:r>
              <w:t>T1 limiter</w:t>
            </w:r>
          </w:p>
        </w:tc>
      </w:tr>
      <w:tr>
        <w:tc>
          <w:tcPr>
            <w:tcW w:type="dxa" w:w="1729"/>
            <w:tcMar/>
          </w:tcPr>
          <w:p>
            <w:r>
              <w:t>1/f 磁通噪声</w:t>
            </w:r>
          </w:p>
        </w:tc>
        <w:tc>
          <w:tcPr>
            <w:tcW w:type="dxa" w:w="1729"/>
            <w:tcMar/>
          </w:tcPr>
          <w:p>
            <w:r>
              <w:t>56.1 (T_phi)</w:t>
            </w:r>
          </w:p>
        </w:tc>
        <w:tc>
          <w:tcPr>
            <w:tcW w:type="dxa" w:w="1729"/>
            <w:tcMar/>
          </w:tcPr>
          <w:p>
            <w:r>
              <w:t>22.1</w:t>
            </w:r>
          </w:p>
        </w:tc>
        <w:tc>
          <w:tcPr>
            <w:tcW w:type="dxa" w:w="1729"/>
            <w:tcMar/>
          </w:tcPr>
          <w:p>
            <w:r>
              <w:t>T2 limiter</w:t>
            </w:r>
          </w:p>
        </w:tc>
      </w:tr>
      <w:tr>
        <w:tc>
          <w:tcPr>
            <w:tcW w:type="dxa" w:w="1729"/>
            <w:tcMar/>
          </w:tcPr>
          <w:p>
            <w:r>
              <w:t>Purcell衰减</w:t>
            </w:r>
          </w:p>
        </w:tc>
        <w:tc>
          <w:tcPr>
            <w:tcW w:type="dxa" w:w="1729"/>
            <w:tcMar/>
          </w:tcPr>
          <w:p>
            <w:r>
              <w:t>193.3</w:t>
            </w:r>
          </w:p>
        </w:tc>
        <w:tc>
          <w:tcPr>
            <w:tcW w:type="dxa" w:w="1729"/>
            <w:tcMar/>
          </w:tcPr>
          <w:p>
            <w:r>
              <w:t>15.5</w:t>
            </w:r>
          </w:p>
        </w:tc>
        <w:tc>
          <w:tcPr>
            <w:tcW w:type="dxa" w:w="1729"/>
            <w:tcMar/>
          </w:tcPr>
          <w:p>
            <w:r>
              <w:t>T1 limiter</w:t>
            </w:r>
          </w:p>
        </w:tc>
      </w:tr>
      <w:tr>
        <w:tc>
          <w:tcPr>
            <w:tcW w:type="dxa" w:w="1729"/>
            <w:tcMar/>
          </w:tcPr>
          <w:p>
            <w:r>
              <w:t>Radiation loss</w:t>
            </w:r>
          </w:p>
        </w:tc>
        <w:tc>
          <w:tcPr>
            <w:tcW w:type="dxa" w:w="1729"/>
            <w:tcMar/>
          </w:tcPr>
          <w:p>
            <w:r>
              <w:t>255.9</w:t>
            </w:r>
          </w:p>
        </w:tc>
        <w:tc>
          <w:tcPr>
            <w:tcW w:type="dxa" w:w="1729"/>
            <w:tcMar/>
          </w:tcPr>
          <w:p>
            <w:r>
              <w:t>11.7</w:t>
            </w:r>
          </w:p>
        </w:tc>
        <w:tc>
          <w:tcPr>
            <w:tcW w:type="dxa" w:w="1729"/>
            <w:tcMar/>
          </w:tcPr>
          <w:p>
            <w:r>
              <w:t>T1 limiter</w:t>
            </w:r>
          </w:p>
        </w:tc>
      </w:tr>
      <w:tr>
        <w:tc>
          <w:tcPr>
            <w:tcW w:type="dxa" w:w="1729"/>
            <w:tcMar/>
          </w:tcPr>
          <w:p>
            <w:r>
              <w:t>Quasiparticle tunneling</w:t>
            </w:r>
          </w:p>
        </w:tc>
        <w:tc>
          <w:tcPr>
            <w:tcW w:type="dxa" w:w="1729"/>
            <w:tcMar/>
          </w:tcPr>
          <w:p>
            <w:r>
              <w:t>407.1</w:t>
            </w:r>
          </w:p>
        </w:tc>
        <w:tc>
          <w:tcPr>
            <w:tcW w:type="dxa" w:w="1729"/>
            <w:tcMar/>
          </w:tcPr>
          <w:p>
            <w:r>
              <w:t>7.4</w:t>
            </w:r>
          </w:p>
        </w:tc>
        <w:tc>
          <w:tcPr>
            <w:tcW w:type="dxa" w:w="1729"/>
            <w:tcMar/>
          </w:tcPr>
          <w:p>
            <w:r>
              <w:t>T1 limiter</w:t>
            </w:r>
          </w:p>
        </w:tc>
      </w:tr>
      <w:tr>
        <w:tc>
          <w:tcPr>
            <w:tcW w:type="dxa" w:w="1729"/>
            <w:tcMar/>
          </w:tcPr>
          <w:p>
            <w:r>
              <w:t>Thermal photon 退相位</w:t>
            </w:r>
          </w:p>
        </w:tc>
        <w:tc>
          <w:tcPr>
            <w:tcW w:type="dxa" w:w="1729"/>
            <w:tcMar/>
          </w:tcPr>
          <w:p>
            <w:r>
              <w:t>205.0 (T_phi)</w:t>
            </w:r>
          </w:p>
        </w:tc>
        <w:tc>
          <w:tcPr>
            <w:tcW w:type="dxa" w:w="1729"/>
            <w:tcMar/>
          </w:tcPr>
          <w:p>
            <w:r>
              <w:t>6.1</w:t>
            </w:r>
          </w:p>
        </w:tc>
        <w:tc>
          <w:tcPr>
            <w:tcW w:type="dxa" w:w="1729"/>
            <w:tcMar/>
          </w:tcPr>
          <w:p>
            <w:r>
              <w:t>T2 limiter</w:t>
            </w:r>
          </w:p>
        </w:tc>
      </w:tr>
      <w:tr>
        <w:tc>
          <w:tcPr>
            <w:tcW w:type="dxa" w:w="1729"/>
            <w:tcMar/>
          </w:tcPr>
          <w:p>
            <w:r>
              <w:t>Charge noise 退相位</w:t>
            </w:r>
          </w:p>
        </w:tc>
        <w:tc>
          <w:tcPr>
            <w:tcW w:type="dxa" w:w="1729"/>
            <w:tcMar/>
          </w:tcPr>
          <w:p>
            <w:r>
              <w:t>1078.9 (T_phi)</w:t>
            </w:r>
          </w:p>
        </w:tc>
        <w:tc>
          <w:tcPr>
            <w:tcW w:type="dxa" w:w="1729"/>
            <w:tcMar/>
          </w:tcPr>
          <w:p>
            <w:r>
              <w:t>1.2</w:t>
            </w:r>
          </w:p>
        </w:tc>
        <w:tc>
          <w:tcPr>
            <w:tcW w:type="dxa" w:w="1729"/>
            <w:tcMar/>
          </w:tcPr>
          <w:p>
            <w:r>
              <w:t>T2 limiter</w:t>
            </w:r>
          </w:p>
        </w:tc>
      </w:tr>
    </w:tbl>
    <w:p>
      <w:pPr/>
      <w:r>
        <w:t>Results. All five scenarios complete successfully, including the most complex 8-step chain: create_design, add_transmon, add_route, export_gds, q3d_extraction, build_hamiltonian, noise_budget, and design_proposal. In the full design loop, one tool (sim_q3d_extraction) operates in 优雅降级 mode, returning physics-informed analytical results instead of full 3D field solutions. The system correctly chains tool outputs as inputs to subsequent tools, maintaining data consistency across the pipeline.</w:t>
      </w:r>
    </w:p>
    <w:p>
      <w:pPr>
        <w:jc w:val="center"/>
      </w:pPr>
      <w:r>
        <w:drawing>
          <wp:inline xmlns:a="http://schemas.openxmlformats.org/drawingml/2006/main" xmlns:pic="http://schemas.openxmlformats.org/drawingml/2006/picture">
            <wp:extent cx="4572000" cy="1873518"/>
            <wp:docPr id="8" name="Picture 8"/>
            <wp:cNvGraphicFramePr>
              <a:graphicFrameLocks noChangeAspect="1"/>
            </wp:cNvGraphicFramePr>
            <a:graphic>
              <a:graphicData uri="http://schemas.openxmlformats.org/drawingml/2006/picture">
                <pic:pic>
                  <pic:nvPicPr>
                    <pic:cNvPr id="0" name="fig7_chain_depth.png"/>
                    <pic:cNvPicPr/>
                  </pic:nvPicPr>
                  <pic:blipFill>
                    <a:blip r:embed="rId28"/>
                    <a:stretch>
                      <a:fillRect/>
                    </a:stretch>
                  </pic:blipFill>
                  <pic:spPr>
                    <a:xfrm>
                      <a:off x="0" y="0"/>
                      <a:ext cx="4572000" cy="1873518"/>
                    </a:xfrm>
                    <a:prstGeom prst="rect"/>
                  </pic:spPr>
                </pic:pic>
              </a:graphicData>
            </a:graphic>
          </wp:inline>
        </w:drawing>
      </w:r>
    </w:p>
    <w:p>
      <w:pPr>
        <w:pStyle w:val="figurecaption"/>
      </w:pPr>
      <w:r>
        <w:t>Fig. 7. Tool-call chain depth across five scenarios of increasing complexity. Blue: tools in chain; Green: actual rounds required.</w:t>
      </w:r>
    </w:p>
    <w:p>
      <w:pPr>
        <w:jc w:val="center"/>
      </w:pPr>
      <w:r>
        <w:t>Analysis. The ReAct loop with maximum 20 rounds provides sufficient headroom for even the most complex chains. Graceful degradation proves essential: rather than failing when a platform is unavailable, the system continues with reduced fidelity, allowing the reasoning chain to complete. This design choice trades 准确率 for availability, which is appropriate for research environments where not all tools are always accessible.</w:t>
      </w:r>
    </w:p>
    <w:p>
      <w:pPr>
        <w:pStyle w:val="heading2"/>
        <w:jc w:val="center"/>
      </w:pPr>
      <w:r>
        <w:t>Experiment 4: 跨智能体信息流</w:t>
      </w:r>
    </w:p>
    <w:p>
      <w:pPr>
        <w:pStyle w:val="p1a"/>
      </w:pPr>
      <w:r>
        <w:t>Task. 我们评估 信息保留率 and latency across four pipeline scenarios where data must flow between 2-5 specialized agents, carrying 2-8 structured data objects (design IDs, simulation results, Hamiltonian models, diagnosis reports).</w:t>
      </w:r>
    </w:p>
    <w:p>
      <w:pPr/>
      <w:r>
        <w:t>Results. Information retention ranges from 95% for simple two-agent pipelines (Design-to-Simulation) to 85% for complex four-agent pipelines (Measurement-to-Redesign). End-to-end latency ranges from 12 seconds (two agents) to 65 seconds (five agents). The full lifecycle scenario involving five agents and eight data objects achieves 88% retention in 65 seconds.</w:t>
      </w:r>
    </w:p>
    <w:p>
      <w:pPr>
        <w:jc w:val="center"/>
      </w:pPr>
      <w:r>
        <w:drawing>
          <wp:inline xmlns:a="http://schemas.openxmlformats.org/drawingml/2006/main" xmlns:pic="http://schemas.openxmlformats.org/drawingml/2006/picture">
            <wp:extent cx="5029200" cy="1835767"/>
            <wp:docPr id="9" name="Picture 9"/>
            <wp:cNvGraphicFramePr>
              <a:graphicFrameLocks noChangeAspect="1"/>
            </wp:cNvGraphicFramePr>
            <a:graphic>
              <a:graphicData uri="http://schemas.openxmlformats.org/drawingml/2006/picture">
                <pic:pic>
                  <pic:nvPicPr>
                    <pic:cNvPr id="0" name="fig8_cross_agent.png"/>
                    <pic:cNvPicPr/>
                  </pic:nvPicPr>
                  <pic:blipFill>
                    <a:blip r:embed="rId29"/>
                    <a:stretch>
                      <a:fillRect/>
                    </a:stretch>
                  </pic:blipFill>
                  <pic:spPr>
                    <a:xfrm>
                      <a:off x="0" y="0"/>
                      <a:ext cx="5029200" cy="1835767"/>
                    </a:xfrm>
                    <a:prstGeom prst="rect"/>
                  </pic:spPr>
                </pic:pic>
              </a:graphicData>
            </a:graphic>
          </wp:inline>
        </w:drawing>
      </w:r>
    </w:p>
    <w:p>
      <w:pPr>
        <w:pStyle w:val="figurecaption"/>
      </w:pPr>
      <w:r>
        <w:t>Fig. 8. Cross-agent pipeline performance showing 信息保留率 (left) and 端到端 latency (right) across four pipeline scenarios of increasing complexity.</w:t>
      </w:r>
    </w:p>
    <w:p>
      <w:pPr/>
      <w:r>
        <w:t>Analysis. Information loss occurs primarily at agent boundaries where context truncation is necessary to fit within LLM context windows. The conversation pipeline protocol mitigates this by persisting all tool results externally, allowing downstream agents to retrieve complete data objects by ID rather than relying on summarized context. Latency scales approximately linearly with pipeline length, dominated by LLM inference time (~10 seconds per agent invocation).</w:t>
      </w:r>
    </w:p>
    <w:p>
      <w:pPr>
        <w:pStyle w:val="heading2"/>
      </w:pPr>
      <w:r>
        <w:t>Experiment 5: 心跳自主发现</w:t>
      </w:r>
    </w:p>
    <w:p>
      <w:pPr>
        <w:pStyle w:val="p1a"/>
      </w:pPr>
      <w:r>
        <w:t>Task. 我们评估 the four-tier 心跳引擎 over a simulated 24-hour monitoring period, measuring the quantity, quality, and actionability of autonomously generated discoveries.</w:t>
      </w:r>
    </w:p>
    <w:p>
      <w:pPr>
        <w:jc w:val="center"/>
      </w:pPr>
      <w:r>
        <w:t>Results. The engine produces 8 discoveries across the four tiers with 87.5% actionable rate. Tier L0 (5-minute cadence) performs 288 checks and surfaces 3 operational discoveries including an equipment alarm and ETL pipeline stoppage. Tier L1 (6-hour) performs 4 checks and identifies yield degradation below the 90% threshold. Tier L2 (12-hour) detects a qubit with T1 below the 35 microsecond threshold and a frequency drift anomaly. Most significantly, Tier L3 (24-hour) discovers a 跨域 correlation between 制造 yield and 校准 fidelity (99.2% vs. 97.8% in high-yield vs. low-yield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r>
              <w:t>Anomaly</w:t>
            </w:r>
          </w:p>
        </w:tc>
        <w:tc>
          <w:tcPr>
            <w:tcW w:type="dxa" w:w="1384"/>
            <w:tcMar/>
          </w:tcPr>
          <w:p>
            <w:r>
              <w:t>Observed Metric</w:t>
            </w:r>
          </w:p>
        </w:tc>
        <w:tc>
          <w:tcPr>
            <w:tcW w:type="dxa" w:w="1384"/>
            <w:tcMar/>
          </w:tcPr>
          <w:p>
            <w:r>
              <w:t>Top Root Cause</w:t>
            </w:r>
          </w:p>
        </w:tc>
        <w:tc>
          <w:tcPr>
            <w:tcW w:type="dxa" w:w="1384"/>
            <w:tcMar/>
          </w:tcPr>
          <w:p>
            <w:r>
              <w:t>Confidence</w:t>
            </w:r>
          </w:p>
        </w:tc>
        <w:tc>
          <w:tcPr>
            <w:tcW w:type="dxa" w:w="1384"/>
            <w:tcMar/>
          </w:tcPr>
          <w:p>
            <w:r>
              <w:t>Verification Experiment</w:t>
            </w:r>
          </w:p>
        </w:tc>
      </w:tr>
      <w:tr>
        <w:tc>
          <w:tcPr>
            <w:tcW w:type="dxa" w:w="1384"/>
            <w:tcMar/>
          </w:tcPr>
          <w:p>
            <w:r>
              <w:t>Gate error (high)</w:t>
            </w:r>
          </w:p>
        </w:tc>
        <w:tc>
          <w:tcPr>
            <w:tcW w:type="dxa" w:w="1384"/>
            <w:tcMar/>
          </w:tcPr>
          <w:p>
            <w:r>
              <w:t>Fidelity 98.5%</w:t>
            </w:r>
          </w:p>
        </w:tc>
        <w:tc>
          <w:tcPr>
            <w:tcW w:type="dxa" w:w="1384"/>
            <w:tcMar/>
          </w:tcPr>
          <w:p>
            <w:r>
              <w:t>Frequency collision near CZ point</w:t>
            </w:r>
          </w:p>
        </w:tc>
        <w:tc>
          <w:tcPr>
            <w:tcW w:type="dxa" w:w="1384"/>
            <w:tcMar/>
          </w:tcPr>
          <w:p>
            <w:r>
              <w:t>50%</w:t>
            </w:r>
          </w:p>
        </w:tc>
        <w:tc>
          <w:tcPr>
            <w:tcW w:type="dxa" w:w="1384"/>
            <w:tcMar/>
          </w:tcPr>
          <w:p>
            <w:r>
              <w:t>High-res Chevron scan + leakage 测量</w:t>
            </w:r>
          </w:p>
        </w:tc>
      </w:tr>
      <w:tr>
        <w:tc>
          <w:tcPr>
            <w:tcW w:type="dxa" w:w="1384"/>
            <w:tcMar/>
          </w:tcPr>
          <w:p>
            <w:r>
              <w:t>T1 degradation</w:t>
            </w:r>
          </w:p>
        </w:tc>
        <w:tc>
          <w:tcPr>
            <w:tcW w:type="dxa" w:w="1384"/>
            <w:tcMar/>
          </w:tcPr>
          <w:p>
            <w:r>
              <w:t>T1 = 25 us</w:t>
            </w:r>
          </w:p>
        </w:tc>
        <w:tc>
          <w:tcPr>
            <w:tcW w:type="dxa" w:w="1384"/>
            <w:tcMar/>
          </w:tcPr>
          <w:p>
            <w:r>
              <w:t>Surface 介质损耗 (TLS activation)</w:t>
            </w:r>
          </w:p>
        </w:tc>
        <w:tc>
          <w:tcPr>
            <w:tcW w:type="dxa" w:w="1384"/>
            <w:tcMar/>
          </w:tcPr>
          <w:p>
            <w:r>
              <w:t>40%</w:t>
            </w:r>
          </w:p>
        </w:tc>
        <w:tc>
          <w:tcPr>
            <w:tcW w:type="dxa" w:w="1384"/>
            <w:tcMar/>
          </w:tcPr>
          <w:p>
            <w:r>
              <w:t>T1 vs frequency scan + power-dependent T1</w:t>
            </w:r>
          </w:p>
        </w:tc>
      </w:tr>
      <w:tr>
        <w:tc>
          <w:tcPr>
            <w:tcW w:type="dxa" w:w="1384"/>
            <w:tcMar/>
          </w:tcPr>
          <w:p>
            <w:r>
              <w:t>Frequency drift</w:t>
            </w:r>
          </w:p>
        </w:tc>
        <w:tc>
          <w:tcPr>
            <w:tcW w:type="dxa" w:w="1384"/>
            <w:tcMar/>
          </w:tcPr>
          <w:p>
            <w:r>
              <w:t>0.5 MHz/hour</w:t>
            </w:r>
          </w:p>
        </w:tc>
        <w:tc>
          <w:tcPr>
            <w:tcW w:type="dxa" w:w="1384"/>
            <w:tcMar/>
          </w:tcPr>
          <w:p>
            <w:r>
              <w:t>1/f 磁通噪声 (surface magnetic defects)</w:t>
            </w:r>
          </w:p>
        </w:tc>
        <w:tc>
          <w:tcPr>
            <w:tcW w:type="dxa" w:w="1384"/>
            <w:tcMar/>
          </w:tcPr>
          <w:p>
            <w:r>
              <w:t>50%</w:t>
            </w:r>
          </w:p>
        </w:tc>
        <w:tc>
          <w:tcPr>
            <w:tcW w:type="dxa" w:w="1384"/>
            <w:tcMar/>
          </w:tcPr>
          <w:p>
            <w:r>
              <w:t>CPMG noise spectroscopy + magnetic shielding test</w:t>
            </w:r>
          </w:p>
        </w:tc>
      </w:tr>
      <w:tr>
        <w:tc>
          <w:tcPr>
            <w:tcW w:type="dxa" w:w="1384"/>
            <w:tcMar/>
          </w:tcPr>
          <w:p>
            <w:r>
              <w:t>Readout error</w:t>
            </w:r>
          </w:p>
        </w:tc>
        <w:tc>
          <w:tcPr>
            <w:tcW w:type="dxa" w:w="1384"/>
            <w:tcMar/>
          </w:tcPr>
          <w:p>
            <w:r>
              <w:t>Fidelity 96.5%</w:t>
            </w:r>
          </w:p>
        </w:tc>
        <w:tc>
          <w:tcPr>
            <w:tcW w:type="dxa" w:w="1384"/>
            <w:tcMar/>
          </w:tcPr>
          <w:p>
            <w:r>
              <w:t>Non-optimal readout power/frequency</w:t>
            </w:r>
          </w:p>
        </w:tc>
        <w:tc>
          <w:tcPr>
            <w:tcW w:type="dxa" w:w="1384"/>
            <w:tcMar/>
          </w:tcPr>
          <w:p>
            <w:r>
              <w:t>35%</w:t>
            </w:r>
          </w:p>
        </w:tc>
        <w:tc>
          <w:tcPr>
            <w:tcW w:type="dxa" w:w="1384"/>
            <w:tcMar/>
          </w:tcPr>
          <w:p>
            <w:r>
              <w:t>Readout power + frequency 2D sweep</w:t>
            </w:r>
          </w:p>
        </w:tc>
      </w:tr>
    </w:tbl>
    <w:p>
      <w:pPr/>
      <w:r>
        <w:t>Analysis. The L3 跨域 discovery is particularly noteworthy because it requires joining data from the 制造执行系统 (CHIPMES) with 测量 data from the 校准 database, a correlation that would typically require a human data analyst to hypothesize and manually verify. This demonstrates that autonomous background monitoring can surface non-obvious insights by systematically exploring 跨域 relationships that humans might overlook due to data siloing.</w:t>
      </w:r>
    </w:p>
    <w:p>
      <w:pPr/>
      <w:r/>
    </w:p>
    <w:p>
      <w:pPr/>
      <w:r/>
    </w:p>
    <w:p>
      <w:pPr/>
      <w:r/>
    </w:p>
    <w:p>
      <w:pPr/>
      <w:r/>
    </w:p>
    <w:p>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r>
              <w:t>Plan</w:t>
            </w:r>
          </w:p>
        </w:tc>
        <w:tc>
          <w:tcPr>
            <w:tcW w:type="dxa" w:w="1153"/>
            <w:tcMar/>
          </w:tcPr>
          <w:p>
            <w:r>
              <w:t>Objective</w:t>
            </w:r>
          </w:p>
        </w:tc>
        <w:tc>
          <w:tcPr>
            <w:tcW w:type="dxa" w:w="1153"/>
            <w:tcMar/>
          </w:tcPr>
          <w:p>
            <w:r>
              <w:t>Budget (h)</w:t>
            </w:r>
          </w:p>
        </w:tc>
        <w:tc>
          <w:tcPr>
            <w:tcW w:type="dxa" w:w="1153"/>
            <w:tcMar/>
          </w:tcPr>
          <w:p>
            <w:r>
              <w:t>Experiments</w:t>
            </w:r>
          </w:p>
        </w:tc>
        <w:tc>
          <w:tcPr>
            <w:tcW w:type="dxa" w:w="1153"/>
            <w:tcMar/>
          </w:tcPr>
          <w:p>
            <w:r>
              <w:t>Total Duration (h)</w:t>
            </w:r>
          </w:p>
        </w:tc>
        <w:tc>
          <w:tcPr>
            <w:tcW w:type="dxa" w:w="1153"/>
            <w:tcMar/>
          </w:tcPr>
          <w:p>
            <w:r>
              <w:t>Stopping Criterion</w:t>
            </w:r>
          </w:p>
        </w:tc>
      </w:tr>
      <w:tr>
        <w:tc>
          <w:tcPr>
            <w:tcW w:type="dxa" w:w="1153"/>
            <w:tcMar/>
          </w:tcPr>
          <w:p>
            <w:r>
              <w:t>Noise ID</w:t>
            </w:r>
          </w:p>
        </w:tc>
        <w:tc>
          <w:tcPr>
            <w:tcW w:type="dxa" w:w="1153"/>
            <w:tcMar/>
          </w:tcPr>
          <w:p>
            <w:r>
              <w:t>Identify dominant noise</w:t>
            </w:r>
          </w:p>
        </w:tc>
        <w:tc>
          <w:tcPr>
            <w:tcW w:type="dxa" w:w="1153"/>
            <w:tcMar/>
          </w:tcPr>
          <w:p>
            <w:r>
              <w:t>8.0</w:t>
            </w:r>
          </w:p>
        </w:tc>
        <w:tc>
          <w:tcPr>
            <w:tcW w:type="dxa" w:w="1153"/>
            <w:tcMar/>
          </w:tcPr>
          <w:p>
            <w:r>
              <w:t>5</w:t>
            </w:r>
          </w:p>
        </w:tc>
        <w:tc>
          <w:tcPr>
            <w:tcW w:type="dxa" w:w="1153"/>
            <w:tcMar/>
          </w:tcPr>
          <w:p>
            <w:r>
              <w:t>5.3</w:t>
            </w:r>
          </w:p>
        </w:tc>
        <w:tc>
          <w:tcPr>
            <w:tcW w:type="dxa" w:w="1153"/>
            <w:tcMar/>
          </w:tcPr>
          <w:p>
            <w:r>
              <w:t>Top-1 confidence &gt; 0.8</w:t>
            </w:r>
          </w:p>
        </w:tc>
      </w:tr>
      <w:tr>
        <w:tc>
          <w:tcPr>
            <w:tcW w:type="dxa" w:w="1153"/>
            <w:tcMar/>
          </w:tcPr>
          <w:p>
            <w:r>
              <w:t>Gate Diag.</w:t>
            </w:r>
          </w:p>
        </w:tc>
        <w:tc>
          <w:tcPr>
            <w:tcW w:type="dxa" w:w="1153"/>
            <w:tcMar/>
          </w:tcPr>
          <w:p>
            <w:r>
              <w:t>Gate error diagnosis</w:t>
            </w:r>
          </w:p>
        </w:tc>
        <w:tc>
          <w:tcPr>
            <w:tcW w:type="dxa" w:w="1153"/>
            <w:tcMar/>
          </w:tcPr>
          <w:p>
            <w:r>
              <w:t>6.0</w:t>
            </w:r>
          </w:p>
        </w:tc>
        <w:tc>
          <w:tcPr>
            <w:tcW w:type="dxa" w:w="1153"/>
            <w:tcMar/>
          </w:tcPr>
          <w:p>
            <w:r>
              <w:t>5</w:t>
            </w:r>
          </w:p>
        </w:tc>
        <w:tc>
          <w:tcPr>
            <w:tcW w:type="dxa" w:w="1153"/>
            <w:tcMar/>
          </w:tcPr>
          <w:p>
            <w:r>
              <w:t>5.8</w:t>
            </w:r>
          </w:p>
        </w:tc>
        <w:tc>
          <w:tcPr>
            <w:tcW w:type="dxa" w:w="1153"/>
            <w:tcMar/>
          </w:tcPr>
          <w:p>
            <w:r>
              <w:t>Top-1 confidence &gt; 0.8</w:t>
            </w:r>
          </w:p>
        </w:tc>
      </w:tr>
      <w:tr>
        <w:tc>
          <w:tcPr>
            <w:tcW w:type="dxa" w:w="1153"/>
            <w:tcMar/>
          </w:tcPr>
          <w:p>
            <w:r>
              <w:t>Readout Opt.</w:t>
            </w:r>
          </w:p>
        </w:tc>
        <w:tc>
          <w:tcPr>
            <w:tcW w:type="dxa" w:w="1153"/>
            <w:tcMar/>
          </w:tcPr>
          <w:p>
            <w:r>
              <w:t>Readout optimization</w:t>
            </w:r>
          </w:p>
        </w:tc>
        <w:tc>
          <w:tcPr>
            <w:tcW w:type="dxa" w:w="1153"/>
            <w:tcMar/>
          </w:tcPr>
          <w:p>
            <w:r>
              <w:t>3.0</w:t>
            </w:r>
          </w:p>
        </w:tc>
        <w:tc>
          <w:tcPr>
            <w:tcW w:type="dxa" w:w="1153"/>
            <w:tcMar/>
          </w:tcPr>
          <w:p>
            <w:r>
              <w:t>3</w:t>
            </w:r>
          </w:p>
        </w:tc>
        <w:tc>
          <w:tcPr>
            <w:tcW w:type="dxa" w:w="1153"/>
            <w:tcMar/>
          </w:tcPr>
          <w:p>
            <w:r>
              <w:t>1.8</w:t>
            </w:r>
          </w:p>
        </w:tc>
        <w:tc>
          <w:tcPr>
            <w:tcW w:type="dxa" w:w="1153"/>
            <w:tcMar/>
          </w:tcPr>
          <w:p>
            <w:r>
              <w:t>Top-1 confidence &gt; 0.8</w:t>
            </w:r>
          </w:p>
        </w:tc>
      </w:tr>
    </w:tbl>
    <w:p>
      <w:pPr/>
      <w:r/>
    </w:p>
    <w:p>
      <w:pPr/>
      <w:r/>
    </w:p>
    <w:p>
      <w:pPr/>
      <w:r/>
    </w:p>
    <w:p>
      <w:pPr/>
      <w:r/>
    </w:p>
    <w:p>
      <w:pPr/>
      <w:r/>
    </w:p>
    <w:p>
      <w:pPr>
        <w:jc w:val="center"/>
      </w:pPr>
      <w:r/>
    </w:p>
    <w:p>
      <w:pPr>
        <w:jc w:val="center"/>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r>
              <w:t>Qubit</w:t>
            </w:r>
          </w:p>
        </w:tc>
        <w:tc>
          <w:tcPr>
            <w:tcW w:type="dxa" w:w="988"/>
            <w:tcMar/>
          </w:tcPr>
          <w:p>
            <w:r>
              <w:t>C_self (fF)</w:t>
            </w:r>
          </w:p>
        </w:tc>
        <w:tc>
          <w:tcPr>
            <w:tcW w:type="dxa" w:w="988"/>
            <w:tcMar/>
          </w:tcPr>
          <w:p>
            <w:r>
              <w:t>g_nearest (MHz)</w:t>
            </w:r>
          </w:p>
        </w:tc>
        <w:tc>
          <w:tcPr>
            <w:tcW w:type="dxa" w:w="988"/>
            <w:tcMar/>
          </w:tcPr>
          <w:p>
            <w:r>
              <w:t>p_junction</w:t>
            </w:r>
          </w:p>
        </w:tc>
        <w:tc>
          <w:tcPr>
            <w:tcW w:type="dxa" w:w="988"/>
            <w:tcMar/>
          </w:tcPr>
          <w:p>
            <w:r>
              <w:t>T1_diel (us)</w:t>
            </w:r>
          </w:p>
        </w:tc>
        <w:tc>
          <w:tcPr>
            <w:tcW w:type="dxa" w:w="988"/>
            <w:tcMar/>
          </w:tcPr>
          <w:p>
            <w:r>
              <w:t>f_eigen (GHz)</w:t>
            </w:r>
          </w:p>
        </w:tc>
        <w:tc>
          <w:tcPr>
            <w:tcW w:type="dxa" w:w="988"/>
            <w:tcMar/>
          </w:tcPr>
          <w:p>
            <w:r>
              <w:t>Q-factor</w:t>
            </w:r>
          </w:p>
        </w:tc>
      </w:tr>
      <w:tr>
        <w:tc>
          <w:tcPr>
            <w:tcW w:type="dxa" w:w="988"/>
            <w:tcMar/>
          </w:tcPr>
          <w:p>
            <w:r>
              <w:t>Q1</w:t>
            </w:r>
          </w:p>
        </w:tc>
        <w:tc>
          <w:tcPr>
            <w:tcW w:type="dxa" w:w="988"/>
            <w:tcMar/>
          </w:tcPr>
          <w:p>
            <w:r>
              <w:t>56.80</w:t>
            </w:r>
          </w:p>
        </w:tc>
        <w:tc>
          <w:tcPr>
            <w:tcW w:type="dxa" w:w="988"/>
            <w:tcMar/>
          </w:tcPr>
          <w:p>
            <w:r>
              <w:t>4.27</w:t>
            </w:r>
          </w:p>
        </w:tc>
        <w:tc>
          <w:tcPr>
            <w:tcW w:type="dxa" w:w="988"/>
            <w:tcMar/>
          </w:tcPr>
          <w:p>
            <w:r>
              <w:t>0.9276</w:t>
            </w:r>
          </w:p>
        </w:tc>
        <w:tc>
          <w:tcPr>
            <w:tcW w:type="dxa" w:w="988"/>
            <w:tcMar/>
          </w:tcPr>
          <w:p>
            <w:r>
              <w:t>150.0</w:t>
            </w:r>
          </w:p>
        </w:tc>
        <w:tc>
          <w:tcPr>
            <w:tcW w:type="dxa" w:w="988"/>
            <w:tcMar/>
          </w:tcPr>
          <w:p>
            <w:r>
              <w:t>5.1991</w:t>
            </w:r>
          </w:p>
        </w:tc>
        <w:tc>
          <w:tcPr>
            <w:tcW w:type="dxa" w:w="988"/>
            <w:tcMar/>
          </w:tcPr>
          <w:p>
            <w:r>
              <w:t>44907</w:t>
            </w:r>
          </w:p>
        </w:tc>
      </w:tr>
      <w:tr>
        <w:tc>
          <w:tcPr>
            <w:tcW w:type="dxa" w:w="988"/>
            <w:tcMar/>
          </w:tcPr>
          <w:p>
            <w:r>
              <w:t>Q2</w:t>
            </w:r>
          </w:p>
        </w:tc>
        <w:tc>
          <w:tcPr>
            <w:tcW w:type="dxa" w:w="988"/>
            <w:tcMar/>
          </w:tcPr>
          <w:p>
            <w:r>
              <w:t>60.11</w:t>
            </w:r>
          </w:p>
        </w:tc>
        <w:tc>
          <w:tcPr>
            <w:tcW w:type="dxa" w:w="988"/>
            <w:tcMar/>
          </w:tcPr>
          <w:p>
            <w:r>
              <w:t>1.72</w:t>
            </w:r>
          </w:p>
        </w:tc>
        <w:tc>
          <w:tcPr>
            <w:tcW w:type="dxa" w:w="988"/>
            <w:tcMar/>
          </w:tcPr>
          <w:p>
            <w:r>
              <w:t>0.9337</w:t>
            </w:r>
          </w:p>
        </w:tc>
        <w:tc>
          <w:tcPr>
            <w:tcW w:type="dxa" w:w="988"/>
            <w:tcMar/>
          </w:tcPr>
          <w:p>
            <w:r>
              <w:t>174.5</w:t>
            </w:r>
          </w:p>
        </w:tc>
        <w:tc>
          <w:tcPr>
            <w:tcW w:type="dxa" w:w="988"/>
            <w:tcMar/>
          </w:tcPr>
          <w:p>
            <w:r>
              <w:t>4.6401</w:t>
            </w:r>
          </w:p>
        </w:tc>
        <w:tc>
          <w:tcPr>
            <w:tcW w:type="dxa" w:w="988"/>
            <w:tcMar/>
          </w:tcPr>
          <w:p>
            <w:r>
              <w:t>55241</w:t>
            </w:r>
          </w:p>
        </w:tc>
      </w:tr>
      <w:tr>
        <w:tc>
          <w:tcPr>
            <w:tcW w:type="dxa" w:w="988"/>
            <w:tcMar/>
          </w:tcPr>
          <w:p>
            <w:r>
              <w:t>Q3</w:t>
            </w:r>
          </w:p>
        </w:tc>
        <w:tc>
          <w:tcPr>
            <w:tcW w:type="dxa" w:w="988"/>
            <w:tcMar/>
          </w:tcPr>
          <w:p>
            <w:r>
              <w:t>66.48</w:t>
            </w:r>
          </w:p>
        </w:tc>
        <w:tc>
          <w:tcPr>
            <w:tcW w:type="dxa" w:w="988"/>
            <w:tcMar/>
          </w:tcPr>
          <w:p>
            <w:r>
              <w:t>1.07</w:t>
            </w:r>
          </w:p>
        </w:tc>
        <w:tc>
          <w:tcPr>
            <w:tcW w:type="dxa" w:w="988"/>
            <w:tcMar/>
          </w:tcPr>
          <w:p>
            <w:r>
              <w:t>0.9619</w:t>
            </w:r>
          </w:p>
        </w:tc>
        <w:tc>
          <w:tcPr>
            <w:tcW w:type="dxa" w:w="988"/>
            <w:tcMar/>
          </w:tcPr>
          <w:p>
            <w:r>
              <w:t>303.6</w:t>
            </w:r>
          </w:p>
        </w:tc>
        <w:tc>
          <w:tcPr>
            <w:tcW w:type="dxa" w:w="988"/>
            <w:tcMar/>
          </w:tcPr>
          <w:p>
            <w:r>
              <w:t>5.1632</w:t>
            </w:r>
          </w:p>
        </w:tc>
        <w:tc>
          <w:tcPr>
            <w:tcW w:type="dxa" w:w="988"/>
            <w:tcMar/>
          </w:tcPr>
          <w:p>
            <w:r>
              <w:t>46520</w:t>
            </w:r>
          </w:p>
        </w:tc>
      </w:tr>
      <w:tr>
        <w:tc>
          <w:tcPr>
            <w:tcW w:type="dxa" w:w="988"/>
            <w:tcMar/>
          </w:tcPr>
          <w:p>
            <w:r>
              <w:t>Q4</w:t>
            </w:r>
          </w:p>
        </w:tc>
        <w:tc>
          <w:tcPr>
            <w:tcW w:type="dxa" w:w="988"/>
            <w:tcMar/>
          </w:tcPr>
          <w:p>
            <w:r>
              <w:t>48.28</w:t>
            </w:r>
          </w:p>
        </w:tc>
        <w:tc>
          <w:tcPr>
            <w:tcW w:type="dxa" w:w="988"/>
            <w:tcMar/>
          </w:tcPr>
          <w:p>
            <w:r>
              <w:t>3.49</w:t>
            </w:r>
          </w:p>
        </w:tc>
        <w:tc>
          <w:tcPr>
            <w:tcW w:type="dxa" w:w="988"/>
            <w:tcMar/>
          </w:tcPr>
          <w:p>
            <w:r>
              <w:t>0.9631</w:t>
            </w:r>
          </w:p>
        </w:tc>
        <w:tc>
          <w:tcPr>
            <w:tcW w:type="dxa" w:w="988"/>
            <w:tcMar/>
          </w:tcPr>
          <w:p>
            <w:r>
              <w:t>356.6</w:t>
            </w:r>
          </w:p>
        </w:tc>
        <w:tc>
          <w:tcPr>
            <w:tcW w:type="dxa" w:w="988"/>
            <w:tcMar/>
          </w:tcPr>
          <w:p>
            <w:r>
              <w:t>4.6648</w:t>
            </w:r>
          </w:p>
        </w:tc>
        <w:tc>
          <w:tcPr>
            <w:tcW w:type="dxa" w:w="988"/>
            <w:tcMar/>
          </w:tcPr>
          <w:p>
            <w:r>
              <w:t>65095</w:t>
            </w:r>
          </w:p>
        </w:tc>
      </w:tr>
      <w:tr>
        <w:tc>
          <w:tcPr>
            <w:tcW w:type="dxa" w:w="988"/>
            <w:tcMar/>
          </w:tcPr>
          <w:p>
            <w:r>
              <w:t>Q5</w:t>
            </w:r>
          </w:p>
        </w:tc>
        <w:tc>
          <w:tcPr>
            <w:tcW w:type="dxa" w:w="988"/>
            <w:tcMar/>
          </w:tcPr>
          <w:p>
            <w:r>
              <w:t>54.65</w:t>
            </w:r>
          </w:p>
        </w:tc>
        <w:tc>
          <w:tcPr>
            <w:tcW w:type="dxa" w:w="988"/>
            <w:tcMar/>
          </w:tcPr>
          <w:p>
            <w:r>
              <w:t>1.30</w:t>
            </w:r>
          </w:p>
        </w:tc>
        <w:tc>
          <w:tcPr>
            <w:tcW w:type="dxa" w:w="988"/>
            <w:tcMar/>
          </w:tcPr>
          <w:p>
            <w:r>
              <w:t>0.9479</w:t>
            </w:r>
          </w:p>
        </w:tc>
        <w:tc>
          <w:tcPr>
            <w:tcW w:type="dxa" w:w="988"/>
            <w:tcMar/>
          </w:tcPr>
          <w:p>
            <w:r>
              <w:t>221.5</w:t>
            </w:r>
          </w:p>
        </w:tc>
        <w:tc>
          <w:tcPr>
            <w:tcW w:type="dxa" w:w="988"/>
            <w:tcMar/>
          </w:tcPr>
          <w:p>
            <w:r>
              <w:t>5.1735</w:t>
            </w:r>
          </w:p>
        </w:tc>
        <w:tc>
          <w:tcPr>
            <w:tcW w:type="dxa" w:w="988"/>
            <w:tcMar/>
          </w:tcPr>
          <w:p>
            <w:r>
              <w:t>47095</w:t>
            </w:r>
          </w:p>
        </w:tc>
      </w:tr>
    </w:tbl>
    <w:p>
      <w:pPr/>
      <w:r/>
    </w:p>
    <w:p>
      <w:pPr>
        <w:jc w:val="center"/>
      </w:pPr>
      <w:r/>
    </w:p>
    <w:p>
      <w:pPr>
        <w:jc w:val="center"/>
      </w:pPr>
      <w:r/>
    </w:p>
    <w:p>
      <w:pPr/>
      <w:r/>
    </w:p>
    <w:p>
      <w:pPr/>
      <w:r/>
    </w:p>
    <w:p>
      <w:pPr/>
      <w:r/>
    </w:p>
    <w:p>
      <w:pPr/>
      <w:r/>
    </w:p>
    <w:p>
      <w:pPr/>
      <w:r/>
    </w:p>
    <w:p>
      <w:pPr/>
      <w:r/>
    </w:p>
    <w:p>
      <w:pPr/>
      <w:r/>
    </w:p>
    <w:p>
      <w:pPr/>
      <w:r/>
    </w:p>
    <w:p>
      <w:pPr>
        <w:pStyle w:val="heading1"/>
      </w:pPr>
      <w:r>
        <w:t>讨论</w:t>
      </w:r>
    </w:p>
    <w:p>
      <w:pPr>
        <w:pStyle w:val="heading2"/>
      </w:pPr>
      <w:r>
        <w:t>优势与能力</w:t>
      </w:r>
    </w:p>
    <w:p>
      <w:pPr>
        <w:pStyle w:val="p1a"/>
      </w:pPr>
      <w:r>
        <w:t>AetherQ demonstrates several unique strengths that distinguish it from existing approaches to AI-assisted 量子硬件 development. First, the 多智能体 architecture enables natural decomposition of the complex research pipeline into specialized sub-tasks, mirroring the organizational structure of real 量子硬件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优雅降级 mechanism ensures robustness in real-world settings where tool failures are common, a critical requirement for deployment in active research environments.</w:t>
      </w:r>
    </w:p>
    <w:p>
      <w:pPr/>
      <w:r>
        <w:t>The experimental results reveal a clear advantage of specialized 多智能体 orchestration over monolithic approaches for complex 量子硬件 tasks. The 42% reduction in reasoning rounds (Experiment 1) demonstrates that domain-specific tool filtering substantially reduces the search space for tool selection, while the 84% 路由准确率 (Experiment 2) shows that even a simple keyword-based mechanism can effectively dispatch most queries to the appropriate specialist. The remaining 16% of routing errors concentrate on inherently ambiguous 跨域 queries, suggesting that the performance ceiling for keyword-based routing has been approached and that learned routing models or collaborative 多智能体 responses may be needed for further improvement.</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噪声预算 decomposition (Experiment 2) automates a complex analysis that requires knowledge of multiple 退相干 mechanisms and their parameter dependencies. The anomaly diagnosis (Experiment 3) provides structured reasoning about hardware failures that would otherwise rely on the experimentalist's intuition and experience. The adaptive 实验方案ning (Experiment 4) optimizes resource allocation in a principled manner. The full-stack simulation (Experiment 5) orchestrates multiple simulation tools that are typically run independently by different team members. The pulse optimization and 设计建议 (Experiment 6) synthesize insights across the entire research pipeline.</w:t>
      </w:r>
    </w:p>
    <w:p>
      <w:pPr>
        <w:pStyle w:val="heading2"/>
      </w:pPr>
      <w:r>
        <w:t>局限性与未来方向</w:t>
      </w:r>
    </w:p>
    <w:p>
      <w:pPr>
        <w:pStyle w:val="p1a"/>
      </w:pPr>
      <w:r>
        <w:t>Despite its capabilities, AetherQ has several important 局限性 that point to directions for future research. First, the system currently operates on simulated or pre-characterized data rather than directly controlling experimental hardware. Closing the loop between AI-generated 实验方案s and physical 测量s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局限性 in numerical precision and reasoning reliability, particularly for complex mathematical derivations. While the structured 工具调用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电磁仿真s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r>
        <w:t>A particularly promising direction is the integration of formal verification methods for AI-generated quantum device designs. While the current system provides physics-structured guardrails through the theoretical physicist's module architecture, it does not formally guarantee that generated designs satisfy all specifications. Future work could incorporate constraint checking modules that verify 频率碰撞 avoidance, minimum 耦合强度s, and 制造 rule compliance before committing to GDS export. Additionally, the conversation pipeline protocol naturally supports retrospective analysis of agent decision-making, enabling systematic identification of failure modes and targeted improvement of individual agent capabilities.</w:t>
      </w:r>
    </w:p>
    <w:p>
      <w:pPr>
        <w:pStyle w:val="heading2"/>
      </w:pPr>
      <w:r>
        <w:t>与现有方法的比较</w:t>
      </w:r>
    </w:p>
    <w:p>
      <w:pPr>
        <w:pStyle w:val="p1a"/>
      </w:pPr>
      <w:r>
        <w:t>Compared to existing AI approaches for 量子计算, AetherQ occupies a unique position in the landscape. Narrow machine learning approaches, such as neural network decoders [36,37] or reinforcement learning 校准 agents [38,39], excel at their specific tasks but cannot generalize across the research pipeline. EDA tools like Qiskit Metal [46] and KQCircuits [45] provide excellent design capabilities but lack the scientific reasoning needed for diagnosis and 实验方案ning. General-purpose LLM agents [23,33] offer broad reasoning capabilities but lack the domain-specific knowledge and tool integration needed for 量子硬件 research. AetherQ uniquely combines all three aspects, broad LLM reasoning, domain-specific physics modules, and comprehensive tool integration, within a coherent 多智能体 framework. The key insight is that 量子芯片 research requires not just individual capabilities but the ability to coordinate across diverse sub-tasks, precisely the strength of the 多智能体 paradigm.</w:t>
      </w:r>
    </w:p>
    <w:p>
      <w:pPr>
        <w:pStyle w:val="heading2"/>
      </w:pPr>
      <w:r>
        <w:t>更广泛影响与社会考量</w:t>
      </w:r>
    </w:p>
    <w:p>
      <w:pPr>
        <w:pStyle w:val="p1a"/>
      </w:pPr>
      <w:r>
        <w:t>The development of AI-assisted 量子硬件 design raises several broader considerations. On the positive side, systems like AetherQ have the potential to democratize access to 量子芯片 design expertise, enabling smaller research groups and emerging 量子计算 programs to iterate on chip designs more efficiently. The structured knowledge base and diagnostic capabilities can serve as an educational tool, helping junior researchers understand the complex relationships between design parameters, 制造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制造 constraints, safety requirements, and project objectives. The 优雅降级 mechanism, while ensuring system availability, also means that recommendations may sometimes be based on analytical approximations rather than full 电磁仿真s, and users must be aware of the confidence level associated with each output. Future work should explore formal verification methods for AI-generated quantum device designs, ensuring that critical specifications are provably satisfied before committing to 制造.</w:t>
      </w:r>
    </w:p>
    <w:p>
      <w:pPr>
        <w:pStyle w:val="heading1"/>
      </w:pPr>
      <w:r>
        <w:t>结论</w:t>
      </w:r>
    </w:p>
    <w:p>
      <w:pPr>
        <w:pStyle w:val="p1a"/>
      </w:pPr>
      <w:r>
        <w:t>We have presented AetherQ, a 多智能体 AI system for autonomous 超导量子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可调耦合器s, we have demonstrated autonomous Hamiltonian construction for 20 qubits and 19 couplers with 频率碰撞 detection, 噪声预算 decomposition identifying 介质损耗 and TLS defects as dominant T1 limiters, multi-hypothesis anomaly diagnosis across four failure modes with structured verification paths, adaptive 实验方案ning under budget constraints, full-stack 电磁仿真 (Q3D, LOM, EPR, 本征模), and gate pulse optimization achieving 99.925% single-qubit and 99.84% two-qubit predicted fidelities.</w:t>
      </w:r>
    </w:p>
    <w:p>
      <w:pPr>
        <w:pStyle w:val="p1a"/>
      </w:pPr>
      <w:r>
        <w:t>AetherQ represents a new paradigm for AI-accelerated 量子硬件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量子计算. Future work will focus on hardware integration for 闭环 autonomous experimentation, extension to diverse qubit platforms, and formal verification of AI-generated designs.</w:t>
      </w:r>
    </w:p>
    <w:p>
      <w:pPr/>
      <w:r>
        <w:t>Looking beyond the immediate technical 贡献, 本工作 suggests a broader principle for AI-assisted scientific research: that complex R&amp;D workflows spanning multiple expertise domains are best served by ensembles of specialized agents coordinated through structured protocols, rather than by increasingly large monolithic models. The success of keyword-based routing at 84% 准确率, despite its simplicity, indicates that domain boundaries in 量子芯片 R&amp;D are sufficiently well-defined to support effective task decomposition. The remaining challenges lie not in routing per se but in handling inherently 跨域 tasks that require multiple agents to contribute complementary perspectives. Future systems should explore collaborative resolution mechanisms where routing ambiguity triggers 多智能体 deliberation rather than forcing a 单智能体 assignment.</w:t>
      </w:r>
    </w:p>
    <w:p>
      <w:pPr>
        <w:pStyle w:val="heading1"/>
      </w:pPr>
      <w:r>
        <w:t>致谢</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参考文献</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