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UI/images/FigCaption0.ICO" ContentType="image/.ico"/>
  <Override PartName="/customUI/images/HeaderFooter0.ICO" ContentType="image/.ico"/>
  <Override PartName="/customUI/images/InsertImage0.ICO" ContentType="image/.ico"/>
  <Override PartName="/customUI/images/ORCID0.ICO" ContentType="image/.ico"/>
  <Override PartName="/customUI/images/RedoStyles0.ICO" ContentType="image/.ico"/>
  <Override PartName="/customUI/images/TabCaption0.ICO" ContentType="image/.ico"/>
  <Override PartName="/customUI/images/abstract0.ICO" ContentType="image/.ico"/>
  <Override PartName="/customUI/images/addspace0.ICO" ContentType="image/.ico"/>
  <Override PartName="/customUI/images/arrowleft0.ICO" ContentType="image/.ico"/>
  <Override PartName="/customUI/images/arrowright0.ICO" ContentType="image/.ico"/>
  <Override PartName="/customUI/images/bulletitem0.ICO" ContentType="image/.ico"/>
  <Override PartName="/customUI/images/dashitem0.ICO" ContentType="image/.ico"/>
  <Override PartName="/customUI/images/eqnumber0.ICO" ContentType="image/.ico"/>
  <Override PartName="/customUI/images/equation0.ICO" ContentType="image/.ico"/>
  <Override PartName="/customUI/images/expand00.ICO" ContentType="image/.ico"/>
  <Override PartName="/customUI/images/normal3200.ICO" ContentType="image/.ico"/>
  <Override PartName="/customUI/images/normalspace00.ICO" ContentType="image/.ico"/>
  <Override PartName="/customUI/images/numitem0.ICO" ContentType="image/.ico"/>
  <Override PartName="/customUI/images/papertitle.png" ContentType="image/.png"/>
  <Override PartName="/customUI/images/removespace0.ICO" ContentType="image/.ico"/>
  <Override PartName="/customUI/images/squeeze00.ICO" ContentType="image/.ico"/>
  <Override PartName="/customUI/images/subtitle.png" ContentType="image/.png"/>
  <Override PartName="/customUI/images/togglenumbering0.ICO" ContentType="image/.ico"/>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harts/chart1.xml" ContentType="application/vnd.openxmlformats-officedocument.drawingml.chart+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2f9a12ed56c04698" Type="http://schemas.microsoft.com/office/2007/relationships/ui/extensibility" Target="customUI/customUI14.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pPr>
        <w:pStyle w:val="papertitle"/>
      </w:pPr>
      <w:r>
        <w:t>AetherQ: Multi-Agent Orchestration for Autonomous Superconducting Quantum Chip Research</w:t>
      </w:r>
    </w:p>
    <w:p>
      <w:pPr>
        <w:pStyle w:val="author"/>
      </w:pPr>
      <w:r>
        <w:t>Wei Chen</w:t>
      </w:r>
      <w:r>
        <w:rPr>
          <w:vertAlign w:val="superscript"/>
        </w:rPr>
        <w:t>1</w:t>
      </w:r>
      <w:r>
        <w:t>, Ming Li</w:t>
      </w:r>
      <w:r>
        <w:rPr>
          <w:vertAlign w:val="superscript"/>
        </w:rPr>
        <w:t>1</w:t>
      </w:r>
      <w:r>
        <w:t>, Jian Zhang</w:t>
      </w:r>
      <w:r>
        <w:rPr>
          <w:vertAlign w:val="superscript"/>
        </w:rPr>
        <w:t>2</w:t>
      </w:r>
      <w:r>
        <w:t>, Yun Wang</w:t>
      </w:r>
      <w:r>
        <w:rPr>
          <w:vertAlign w:val="superscript"/>
        </w:rPr>
        <w:t>1</w:t>
      </w:r>
      <w:r>
        <w:t>, and Xiao Liu</w:t>
      </w:r>
      <w:r>
        <w:rPr>
          <w:vertAlign w:val="superscript"/>
        </w:rPr>
        <w:t>2</w:t>
      </w:r>
    </w:p>
    <w:p>
      <w:pPr>
        <w:pStyle w:val="address"/>
      </w:pPr>
      <w:r>
        <w:rPr>
          <w:vertAlign w:val="superscript"/>
        </w:rPr>
        <w:t>1</w:t>
      </w:r>
      <w:r>
        <w:t xml:space="preserve"> Institute of Quantum Computing, University of Science and Technology, Hefei 230026, China</w:t>
      </w:r>
    </w:p>
    <w:p>
      <w:pPr>
        <w:pStyle w:val="address"/>
      </w:pPr>
      <w:r>
        <w:rPr>
          <w:vertAlign w:val="superscript"/>
        </w:rPr>
        <w:t>2</w:t>
      </w:r>
      <w:r>
        <w:t xml:space="preserve"> Department of Electrical Engineering, Tsinghua University, Beijing 100084, China</w:t>
      </w:r>
    </w:p>
    <w:p>
      <w:pPr>
        <w:pStyle w:val="address"/>
      </w:pPr>
      <w:r>
        <w:t>{wei.chen, ming.li}@ustc.edu.cn, {jzhang, xliu}@tsinghua.edu.cn</w:t>
      </w:r>
    </w:p>
    <w:p>
      <w:pPr>
        <w:pStyle w:val="abstract"/>
      </w:pPr>
      <w:r>
        <w:t>Abstract. Superconducting quantum chip development demands coordinated expertise across electromagnetic design, circuit quantization, process engineering, cryogenic measurement, and data analysis. We present AetherQ, a multi-agent AI system that orchestrates twelve specialized AI scientist agents to autonomously manage the full chip research lifecycle through natural-language interaction. The system employs a six-layer architecture with a central orchestrator that routes user intent to domain-specific agents via keyword-based Mixture-of-Experts classification, each agent operating through a ReAct-style tool-call loop over 140 registered tools across 10 platform adapters including Qiskit Metal, Ansys HFSS/Q3D, ARTIQ, and CHIPMES. We introduce three key mechanisms: (i) structured agent specialization through role-specific system prompts, tool-prefix permissions, and domain keyword routing; (ii) a conversation pipeline protocol that records every tool invocation with full provenance for reproducibility; and (iii) an autonomous four-tier heartbeat engine for continuous monitoring without human prompting. We evaluate AetherQ through five collaboration experiments: multi-agent vs. single-agent task completion (100% vs. 90% success rate with 42% fewer reasoning rounds), intent routing accuracy (84% across 50 queries spanning 10 domains), tool-call chain orchestration (up to 8-step chains across 140 tools), cross-agent information flow (85-95% retention across 2-5 agent pipelines), and autonomous heartbeat discovery (8 actionable findings in 24 hours at 87.5% actionable rate). These results demonstrate that structured multi-agent orchestration significantly outperforms monolithic approaches for complex quantum hardware R&amp;D tasks.</w:t>
      </w:r>
    </w:p>
    <w:p>
      <w:pPr>
        <w:pStyle w:val="keywords"/>
      </w:pPr>
      <w:r>
        <w:t>Keywords: Multi-agent orchestration, Superconducting quantum chip, Agent specialization, Tool-call protocol, LLM-based agents, Autonomous scientific research, Intent routing.</w:t>
      </w:r>
    </w:p>
    <w:p>
      <w:pPr>
        <w:pStyle w:val="heading1"/>
      </w:pPr>
      <w:r>
        <w:t>Introduction</w:t>
      </w:r>
    </w:p>
    <w:p>
      <w:pPr>
        <w:pStyle w:val="p1a"/>
      </w:pPr>
      <w:r>
        <w:t>Superconducting quantum computing has emerged as one of the most promising platforms for realizing fault-tolerant quantum processors [1,2]. Over the past two decades, the coherence times of superconducting transmon qubits have improved by more than five orders of magnitude, from nanoseconds to hundreds of microseconds [3], enabling the demonstration of quantum error correction codes [4], quantum supremacy experiments [5], and the first steps toward practical quantum advantage [6]. Leading industrial efforts at Google, IBM, and various academic laboratories have scaled superconducting processors to hundreds of physical qubits, with roadmaps targeting thousands of qubits within the current decade [7,8]. However, the design, fabrication, and characterization of each new generation of quantum processors remains a labor-intensive endeavor that critically depends on the coordinated expertise of physicists, microwave engineers, materials scientists, and EDA specialists.</w:t>
      </w:r>
    </w:p>
    <w:p>
      <w:pPr/>
      <w:r>
        <w:t>The complexity of this development cycle is compounded by the deep interdependence between stages. A change in Josephson junction resistance during fabrication shifts qubit frequencies, which in turn affects the optimal coupler bias point, readout dispersive shift, and gate pulse parameters. Diagnosing whether a measured performance degradation originates from design limitations, fabrication variability, or measurement setup issues requires expertise spanning multiple domains simultaneously. A recent comprehensive survey on Quantum Design Automation (QDA) by Wu et al. [57] identified this interdependence as a fundamental challenge, advocating for holistic co-design frameworks that integrate physical-level and logic-level optimization across the entire quantum computing stack.</w:t>
      </w:r>
    </w:p>
    <w:p>
      <w:pPr/>
      <w:r>
        <w:t>The transmon qubit, introduced by Koch et al. [3], has become the workhorse of superconducting quantum processors due to its reduced charge noise sensitivity achieved through operating in the regime where the Josephson energy EJ greatly exceeds the charging energy EC (typically EJ/EC &gt; 20). Modern transmon architectures incorporate tunable couplers [56] that enable dynamic control of qubit-qubit interactions, allowing residual ZZ coupling to be suppressed below 20 kHz while maintaining coupling strengths exceeding 15 MHz for fast two-qubit gates. The design of these devices requires careful frequency planning to avoid spectral collisions [10], electromagnetic simulation to extract capacitance matrices and participation ratios [11,12], and iterative optimization of geometric parameters to meet target specifications for coherence times, gate fidelities, and readout performance.</w:t>
      </w:r>
    </w:p>
    <w:p>
      <w:pPr>
        <w:pStyle w:val="p1a"/>
      </w:pPr>
      <w:r>
        <w:t>The research cycle for a superconducting quantum chip typically involves multiple tightly coupled stages. First, the chip designer must specify qubit frequencies, anharmonicities, and coupling strengths that satisfy a complex web of constraints: neighboring qubit frequencies must be sufficiently detuned to avoid frequency collisions, yet close enough to enable fast two-qubit gates; readout resonator frequencies must fall within the bandwidth of the measurement chain while maintaining adequate dispersive shifts; and coupler parameters must balance residual ZZ interaction suppression against gate speed [9,10]. Second, these specifications must be translated into physical geometries through electromagnetic simulation, a process that involves capacitance extraction (Q3D), lumped oscillator modeling (LOM), energy participation ratio (EPR) analysis, and eigenmode solving [11,12]. Third, after fabrication and cooldown, the chip must be characterized through a battery of experiments including spectroscopy, Rabi oscillations, Ramsey interferometry, randomized benchmarking, and noise spectroscopy [13,14]. When performance falls short of targets, the experimentalist must diagnose root causes, a task that requires synthesizing information from multiple measurement modalities and comparing against theoretical noise models [15,16]. Finally, the insights gained must feed back into the next design iteration, closing the loop but often requiring months of elapsed time.</w:t>
      </w:r>
    </w:p>
    <w:p>
      <w:pPr/>
      <w:r>
        <w:t>The complexity of this design cycle is compounded by the interdependence between stages. For example, a change in the Josephson junction resistance during fabrication shifts qubit frequencies, which in turn affects the optimal coupler bias point, readout dispersive shift, and gate pulse parameters. Diagnosing whether a measured performance degradation originates from design limitations, fabrication variability, or measurement setup issues requires expertise spanning multiple domains. A recent comprehensive survey on Quantum Design Automation (QDA) [57] identified this interdependence as a fundamental challenge, advocating for holistic co-design frameworks that integrate physical-level and logic-level optimization. The survey catalogues the state of the art across layout design, electromagnetic simulation, Hamiltonian derivation, decoherence analysis, Technology Computer-Aided Design (TCAD), and physical verification, highlighting the need for automated tools that can orchestrate these diverse workflows.</w:t>
      </w:r>
    </w:p>
    <w:p>
      <w:pPr>
        <w:pStyle w:val="p1a"/>
      </w:pPr>
      <w:r>
        <w:t>Recent advances in large language models (LLMs) have demonstrated remarkable capabilities in scientific reasoning, code generation, and multi-step planning [17,18]. Systems such as GPT-4, Claude, and Gemini have shown the ability to understand complex physics problems, generate executable simulation scripts, and synthesize knowledge across disciplinary boundaries [19,20]. The emergence of agentic AI, where LLMs are augmented with tool use, memory, and planning capabilities, has opened the possibility of automating complex scientific workflows that were previously the exclusive domain of human experts [21,22]. Multi-agent systems, in which specialized LLM agents collaborate through structured communication protocols, have shown particular promise for tasks requiring diverse expertise [23,24].</w:t>
      </w:r>
    </w:p>
    <w:p>
      <w:pPr>
        <w:pStyle w:val="p1a"/>
      </w:pPr>
      <w:r>
        <w:t>Despite these advances, the application of LLM-based agents to quantum hardware research remains largely unexplored. Existing AI-for-quantum efforts have focused on narrow tasks such as quantum circuit optimization [25], error mitigation [26], or variational algorithm design [27], without addressing the full hardware development pipeline. The gap between general-purpose LLM agents and the specific needs of quantum chip research is substantial: the domain requires precise numerical computation, adherence to physical constraints, integration with specialized simulation tools, and the ability to reason about failure modes at the intersection of materials science, electromagnetic theory, and quantum mechanics.</w:t>
      </w:r>
    </w:p>
    <w:p>
      <w:pPr/>
      <w:r>
        <w:t>The gap between existing agent systems and quantum hardware automation is significant. Computational chemistry workflows are predominantly software-based (generating input files, running simulations, parsing outputs), whereas quantum hardware workflows involve physical artifacts (GDS layout files, fabricated chips, cryogenic measurement data) and require real-time interaction with instruments and manufacturing execution systems with hundreds of database tables. Moreover, error diagnosis in quantum hardware is fundamentally more complex: a low gate fidelity could stem from frequency collisions in the design, junction parameter drift during fabrication, insufficient magnetic shielding, thermal photon population, or pulse distortion in the control electronics. Attributing performance to root causes requires combining theoretical models, simulation data, and experimental evidence in a structured multi-agent reasoning framework that goes beyond what any single LLM can accomplish.</w:t>
      </w:r>
    </w:p>
    <w:p>
      <w:pPr/>
      <w:r>
        <w:t>The gap between computational chemistry automation and quantum hardware automation is significant. While computational chemistry workflows are predominantly software-based (generating input files, running simulations, parsing outputs), quantum hardware workflows involve physical artifacts (GDS layout files, fabricated chips, cryogenic measurement data) and require real-time interaction with instruments and manufacturing execution systems. Moreover, the error diagnosis in quantum hardware is fundamentally more complex: a low gate fidelity could stem from frequency collisions in the design, junction parameter drift during fabrication, insufficient magnetic shielding, thermal photon population, or pulse distortion in the control electronics. Attributing performance to root causes requires combining theoretical models, simulation data, and experimental evidence in a structured reasoning framework that goes beyond pattern matching.</w:t>
      </w:r>
    </w:p>
    <w:p>
      <w:pPr>
        <w:pStyle w:val="p1a"/>
      </w:pPr>
      <w:r>
        <w:t>In this paper, we present AetherQ, a multi-agent AI system specifically designed to automate the research cycle of superconducting quantum chip development. AetherQ comprises twelve specialized agents coordinated by a central planner, with each agent encapsulating domain expertise through a combination of LLM reasoning, structured tool calls, and physics-informed computation modules. Our key contributions are as follows: (1) We propose a hierarchical multi-agent architecture that decomposes the quantum chip research pipeline into modular, composable sub-tasks with graceful degradation under tool failures. (2) We introduce nine physics modules (M0-M8) that encode domain knowledge for Hamiltonian construction, noise analysis, anomaly diagnosis, experiment planning, simulation orchestration, pulse optimization, design synthesis, and layout generation. (3) We validate the system on a realistic 20-qubit transmon chip with tunable couplers, demonstrating end-to-end autonomous operation across six diverse experimental tasks. (4) We show that AetherQ can identify dominant noise mechanisms, diagnose performance anomalies with ranked hypotheses, plan adaptive experiments under budget constraints, and generate optimized gate pulses with predicted fidelities exceeding 99.9% for single-qubit gates.</w:t>
      </w:r>
    </w:p>
    <w:p>
      <w:pPr>
        <w:pStyle w:val="heading1"/>
      </w:pPr>
      <w:r>
        <w:t>Related Work</w:t>
      </w:r>
    </w:p>
    <w:p>
      <w:pPr>
        <w:pStyle w:val="heading2"/>
      </w:pPr>
      <w:r>
        <w:t>LLM-Based Scientific Agents</w:t>
      </w:r>
    </w:p>
    <w:p>
      <w:pPr>
        <w:pStyle w:val="p1a"/>
      </w:pPr>
      <w:r>
        <w:t>The concept of using LLMs as autonomous scientific agents has gained significant traction following the demonstration of tool-augmented language models [17,28]. ChemCrow [29] pioneered the integration of LLMs with chemistry-specific tools for molecular design and synthesis planning, while Coscientist [30] demonstrated autonomous wet-lab experiment design and execution. In the broader scientific domain, systems like SciAgent [31] and ResearchAgent [32] have shown the ability to navigate literature, formulate hypotheses, and design experiments, though primarily in domains with well-established computational tools. The multi-agent paradigm has been explored by systems such as AutoGen [23], MetaGPT [33], and CAMEL [34], which demonstrate that role-specialized agents can outperform monolithic LLMs on complex tasks requiring diverse expertise. However, none of these systems address the specific challenges of quantum hardware research, which requires tight integration between theoretical physics reasoning, numerical simulation, and experimental design.</w:t>
      </w:r>
    </w:p>
    <w:p>
      <w:pPr>
        <w:pStyle w:val="heading2"/>
      </w:pPr>
      <w:r>
        <w:t>AI for Quantum Computing</w:t>
      </w:r>
    </w:p>
    <w:p>
      <w:pPr>
        <w:pStyle w:val="p1a"/>
      </w:pPr>
      <w:r>
        <w:t>Machine learning techniques have been applied to various aspects of quantum computing, including quantum state tomography [35], quantum error correction decoding [36,37], variational quantum algorithm optimization [27], and quantum circuit compilation [25]. At the hardware level, reinforcement learning has been used for qubit frequency tuneup [38], gate calibration [39], and readout optimization [40]. Neural network surrogate models have been proposed for accelerating electromagnetic simulation of superconducting circuits [41,42]. More recently, LLMs have been explored for quantum circuit generation [43] and quantum error analysis [44]. However, these approaches address isolated tasks rather than the integrated research pipeline. AetherQ differs fundamentally by providing an end-to-end system that spans from theoretical modeling through experimental validation.</w:t>
      </w:r>
    </w:p>
    <w:p>
      <w:pPr>
        <w:pStyle w:val="heading2"/>
      </w:pPr>
      <w:r>
        <w:t>Electronic Design Automation for Quantum Chips</w:t>
      </w:r>
    </w:p>
    <w:p>
      <w:pPr>
        <w:pStyle w:val="p1a"/>
      </w:pPr>
      <w:r>
        <w:t>The EDA community has begun to develop specialized tools for superconducting quantum circuit design. KQCircuits [45] provides an open-source framework for generating superconducting circuit layouts, while Qiskit Metal [46] offers an integrated design environment with built-in electromagnetic analysis capabilities. SQDMetal [47] extends these capabilities with support for 3D integration and flip-chip architectures. Commercial tools from Ansys (HFSS, Q3D) and Sonnet remain the industry standard for electromagnetic simulation of superconducting circuits [11,48]. Despite these advances, the gap between EDA tools and physics-driven design optimization remains significant: designers must manually translate physics requirements into geometric parameters, interpret simulation results, and iterate on designs. AetherQ bridges this gap by using LLM agents to orchestrate the entire design flow, from physics specification through simulation to layout generation.</w:t>
      </w:r>
    </w:p>
    <w:p>
      <w:pPr/>
      <w:r>
        <w:t>The QDesignOptimizer framework [58] represents a notable advance in automated superconducting circuit design, combining high-accuracy electromagnetic simulations in Ansys HFSS with Energy Participation Ratio (EPR) analysis integrated into Qiskit Metal. For larger-scale chips, Li et al. [59] proposed a graph neural network (GNN)-based parameter design algorithm that achieves 51% error reduction compared to conventional methods for circuits approaching 870 qubits. Li et al. [60] demonstrated LLM-assisted superconducting qubit experiments where an LLM framework autonomously performs resonator characterization and QND measurements. The QUASAR framework [61] addresses quantum circuit generation through agentic reinforcement learning, achieving 99.31% validity in quantum assembly code generation. Google's work on reinforcement learning for quantum error correction [62] demonstrates that calibration can be unified with computation through continuous parameter adjustment during operation. These developments highlight the growing sophistication of individual automation tools, but none provides end-to-end orchestration across the full chip lifecycle.</w:t>
      </w:r>
    </w:p>
    <w:p>
      <w:pPr/>
      <w:r>
        <w:t>The QDesignOptimizer framework [58] represents a notable advance in automated superconducting circuit design, combining high-accuracy electromagnetic simulations in Ansys HFSS with Energy Participation Ratio (EPR) analysis integrated into Qiskit Metal. The framework uses physics-informed nonlinear models to guide parameter updates, significantly reducing manual intervention in the optimization loop. For larger-scale chips, Li et al. [59] proposed a graph neural network (GNN)-based parameter design algorithm that achieves 51% error reduction compared to conventional methods for circuits approaching 870 qubits, with computation time reduced from 90 minutes to 27 seconds through a 'three-stair scaling' mechanism. These advances demonstrate the growing sophistication of automated design tools, but they remain focused on individual stages of the pipeline rather than providing end-to-end orchestration.</w:t>
      </w:r>
    </w:p>
    <w:p>
      <w:pPr>
        <w:pStyle w:val="heading2"/>
      </w:pPr>
      <w:r>
        <w:t>Gap Analysis and Our Position</w:t>
      </w:r>
    </w:p>
    <w:p>
      <w:pPr>
        <w:pStyle w:val="p1a"/>
      </w:pPr>
      <w:r>
        <w:t>Table 1 summarizes the positioning of AetherQ relative to existing work. The key differentiator is the integration of LLM-based scientific reasoning with the full quantum chip research pipeline, encompassing Hamiltonian modeling, noise analysis, diagnosis, experiment planning, simulation, pulse optimization, and layout generation within a unified multi-agent framework. While prior systems excel at individual tasks, AetherQ is the first to provide autonomous end-to-end coverage of the research cycle, with structured inter-agent communication and graceful degradation under partial failures.</w:t>
      </w:r>
    </w:p>
    <w:p>
      <w:pPr/>
      <w:r>
        <w:t>A recent landmark study by Li et al. [60] demonstrated LLM-assisted superconducting qubit experiments, where an LLM framework generates and invokes experimental tools on-demand via a knowledge base, enabling autonomous resonator characterization and quantum non-demolition (QND) measurements. The QUASAR framework [61] addresses quantum circuit generation through agentic reinforcement learning, achieving 99.31% validity in quantum assembly code generation. Google's work on reinforcement learning for quantum error correction [62] shows that calibration can be unified with computation through continuous parameter adjustment during operation. These developments, while impressive individually, highlight the absence of a unifying framework that integrates design, simulation, fabrication tracking, measurement, and analysis into a coherent multi-agent system. AetherQ addresses this gap by providing a single platform where all twelve roles of a quantum chip research team are represented as specialized AI agents with access to the appropriate domain tools.</w:t>
      </w:r>
    </w:p>
    <w:p>
      <w:pPr>
        <w:pStyle w:val="tablecaption"/>
        <w:jc w:val="center"/>
      </w:pPr>
      <w:r>
        <w:t>Table 1. Comparison of AetherQ with related systems across key capability dimensions.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153"/>
        <w:gridCol w:w="1153"/>
        <w:gridCol w:w="1153"/>
        <w:gridCol w:w="1153"/>
        <w:gridCol w:w="1153"/>
        <w:gridCol w:w="1153"/>
      </w:tblGrid>
      <w:tr>
        <w:tc>
          <w:tcPr>
            <w:tcW w:type="dxa" w:w="1153"/>
            <w:tcMar/>
          </w:tcPr>
          <w:p>
            <w:pPr>
              <w:jc w:val="center"/>
            </w:pPr>
            <w:r>
              <w:rPr>
                <w:b/>
                <w:sz w:val="16"/>
              </w:rPr>
              <w:t>System</w:t>
            </w:r>
          </w:p>
        </w:tc>
        <w:tc>
          <w:tcPr>
            <w:tcW w:type="dxa" w:w="1153"/>
            <w:tcMar/>
          </w:tcPr>
          <w:p>
            <w:pPr>
              <w:jc w:val="center"/>
            </w:pPr>
            <w:r>
              <w:rPr>
                <w:b/>
                <w:sz w:val="16"/>
              </w:rPr>
              <w:t>Domain</w:t>
            </w:r>
          </w:p>
        </w:tc>
        <w:tc>
          <w:tcPr>
            <w:tcW w:type="dxa" w:w="1153"/>
            <w:tcMar/>
          </w:tcPr>
          <w:p>
            <w:pPr>
              <w:jc w:val="center"/>
            </w:pPr>
            <w:r>
              <w:rPr>
                <w:b/>
                <w:sz w:val="16"/>
              </w:rPr>
              <w:t>Multi-Agent</w:t>
            </w:r>
          </w:p>
        </w:tc>
        <w:tc>
          <w:tcPr>
            <w:tcW w:type="dxa" w:w="1153"/>
            <w:tcMar/>
          </w:tcPr>
          <w:p>
            <w:pPr>
              <w:jc w:val="center"/>
            </w:pPr>
            <w:r>
              <w:rPr>
                <w:b/>
                <w:sz w:val="16"/>
              </w:rPr>
              <w:t>Tool Use</w:t>
            </w:r>
          </w:p>
        </w:tc>
        <w:tc>
          <w:tcPr>
            <w:tcW w:type="dxa" w:w="1153"/>
            <w:tcMar/>
          </w:tcPr>
          <w:p>
            <w:pPr>
              <w:jc w:val="center"/>
            </w:pPr>
            <w:r>
              <w:rPr>
                <w:b/>
                <w:sz w:val="16"/>
              </w:rPr>
              <w:t>Physics Modules</w:t>
            </w:r>
          </w:p>
        </w:tc>
        <w:tc>
          <w:tcPr>
            <w:tcW w:type="dxa" w:w="1153"/>
            <w:tcMar/>
          </w:tcPr>
          <w:p>
            <w:pPr>
              <w:jc w:val="center"/>
            </w:pPr>
            <w:r>
              <w:rPr>
                <w:b/>
                <w:sz w:val="16"/>
              </w:rPr>
              <w:t>End-to-End</w:t>
            </w:r>
          </w:p>
        </w:tc>
      </w:tr>
      <w:tr>
        <w:tc>
          <w:tcPr>
            <w:tcW w:type="dxa" w:w="1153"/>
            <w:tcMar/>
          </w:tcPr>
          <w:p>
            <w:pPr>
              <w:jc w:val="center"/>
            </w:pPr>
            <w:r>
              <w:rPr>
                <w:sz w:val="16"/>
              </w:rPr>
              <w:t>ChemCrow [29]</w:t>
            </w:r>
          </w:p>
        </w:tc>
        <w:tc>
          <w:tcPr>
            <w:tcW w:type="dxa" w:w="1153"/>
            <w:tcMar/>
          </w:tcPr>
          <w:p>
            <w:pPr>
              <w:jc w:val="center"/>
            </w:pPr>
            <w:r>
              <w:rPr>
                <w:sz w:val="16"/>
              </w:rPr>
              <w:t>Chemistry</w:t>
            </w:r>
          </w:p>
        </w:tc>
        <w:tc>
          <w:tcPr>
            <w:tcW w:type="dxa" w:w="1153"/>
            <w:tcMar/>
          </w:tcPr>
          <w:p>
            <w:pPr>
              <w:jc w:val="center"/>
            </w:pPr>
            <w:r>
              <w:rPr>
                <w:sz w:val="16"/>
              </w:rPr>
              <w:t>No</w:t>
            </w:r>
          </w:p>
        </w:tc>
        <w:tc>
          <w:tcPr>
            <w:tcW w:type="dxa" w:w="1153"/>
            <w:tcMar/>
          </w:tcPr>
          <w:p>
            <w:pPr>
              <w:jc w:val="center"/>
            </w:pPr>
            <w:r>
              <w:rPr>
                <w:sz w:val="16"/>
              </w:rPr>
              <w:t>Yes</w:t>
            </w:r>
          </w:p>
        </w:tc>
        <w:tc>
          <w:tcPr>
            <w:tcW w:type="dxa" w:w="1153"/>
            <w:tcMar/>
          </w:tcPr>
          <w:p>
            <w:pPr>
              <w:jc w:val="center"/>
            </w:pPr>
            <w:r>
              <w:rPr>
                <w:sz w:val="16"/>
              </w:rPr>
              <w:t>No</w:t>
            </w:r>
          </w:p>
        </w:tc>
        <w:tc>
          <w:tcPr>
            <w:tcW w:type="dxa" w:w="1153"/>
            <w:tcMar/>
          </w:tcPr>
          <w:p>
            <w:pPr>
              <w:jc w:val="center"/>
            </w:pPr>
            <w:r>
              <w:rPr>
                <w:sz w:val="16"/>
              </w:rPr>
              <w:t>Partial</w:t>
            </w:r>
          </w:p>
        </w:tc>
      </w:tr>
      <w:tr>
        <w:tc>
          <w:tcPr>
            <w:tcW w:type="dxa" w:w="1153"/>
            <w:tcMar/>
          </w:tcPr>
          <w:p>
            <w:pPr>
              <w:jc w:val="center"/>
            </w:pPr>
            <w:r>
              <w:rPr>
                <w:sz w:val="16"/>
              </w:rPr>
              <w:t>Coscientist [30]</w:t>
            </w:r>
          </w:p>
        </w:tc>
        <w:tc>
          <w:tcPr>
            <w:tcW w:type="dxa" w:w="1153"/>
            <w:tcMar/>
          </w:tcPr>
          <w:p>
            <w:pPr>
              <w:jc w:val="center"/>
            </w:pPr>
            <w:r>
              <w:rPr>
                <w:sz w:val="16"/>
              </w:rPr>
              <w:t>Chemistry</w:t>
            </w:r>
          </w:p>
        </w:tc>
        <w:tc>
          <w:tcPr>
            <w:tcW w:type="dxa" w:w="1153"/>
            <w:tcMar/>
          </w:tcPr>
          <w:p>
            <w:pPr>
              <w:jc w:val="center"/>
            </w:pPr>
            <w:r>
              <w:rPr>
                <w:sz w:val="16"/>
              </w:rPr>
              <w:t>No</w:t>
            </w:r>
          </w:p>
        </w:tc>
        <w:tc>
          <w:tcPr>
            <w:tcW w:type="dxa" w:w="1153"/>
            <w:tcMar/>
          </w:tcPr>
          <w:p>
            <w:pPr>
              <w:jc w:val="center"/>
            </w:pPr>
            <w:r>
              <w:rPr>
                <w:sz w:val="16"/>
              </w:rPr>
              <w:t>Yes</w:t>
            </w:r>
          </w:p>
        </w:tc>
        <w:tc>
          <w:tcPr>
            <w:tcW w:type="dxa" w:w="1153"/>
            <w:tcMar/>
          </w:tcPr>
          <w:p>
            <w:pPr>
              <w:jc w:val="center"/>
            </w:pPr>
            <w:r>
              <w:rPr>
                <w:sz w:val="16"/>
              </w:rPr>
              <w:t>No</w:t>
            </w:r>
          </w:p>
        </w:tc>
        <w:tc>
          <w:tcPr>
            <w:tcW w:type="dxa" w:w="1153"/>
            <w:tcMar/>
          </w:tcPr>
          <w:p>
            <w:pPr>
              <w:jc w:val="center"/>
            </w:pPr>
            <w:r>
              <w:rPr>
                <w:sz w:val="16"/>
              </w:rPr>
              <w:t>Yes</w:t>
            </w:r>
          </w:p>
        </w:tc>
      </w:tr>
      <w:tr>
        <w:tc>
          <w:tcPr>
            <w:tcW w:type="dxa" w:w="1153"/>
            <w:tcMar/>
          </w:tcPr>
          <w:p>
            <w:pPr>
              <w:jc w:val="center"/>
            </w:pPr>
            <w:r>
              <w:rPr>
                <w:sz w:val="16"/>
              </w:rPr>
              <w:t>AutoGen [23]</w:t>
            </w:r>
          </w:p>
        </w:tc>
        <w:tc>
          <w:tcPr>
            <w:tcW w:type="dxa" w:w="1153"/>
            <w:tcMar/>
          </w:tcPr>
          <w:p>
            <w:pPr>
              <w:jc w:val="center"/>
            </w:pPr>
            <w:r>
              <w:rPr>
                <w:sz w:val="16"/>
              </w:rPr>
              <w:t>General</w:t>
            </w:r>
          </w:p>
        </w:tc>
        <w:tc>
          <w:tcPr>
            <w:tcW w:type="dxa" w:w="1153"/>
            <w:tcMar/>
          </w:tcPr>
          <w:p>
            <w:pPr>
              <w:jc w:val="center"/>
            </w:pPr>
            <w:r>
              <w:rPr>
                <w:sz w:val="16"/>
              </w:rPr>
              <w:t>Yes</w:t>
            </w:r>
          </w:p>
        </w:tc>
        <w:tc>
          <w:tcPr>
            <w:tcW w:type="dxa" w:w="1153"/>
            <w:tcMar/>
          </w:tcPr>
          <w:p>
            <w:pPr>
              <w:jc w:val="center"/>
            </w:pPr>
            <w:r>
              <w:rPr>
                <w:sz w:val="16"/>
              </w:rPr>
              <w:t>Yes</w:t>
            </w:r>
          </w:p>
        </w:tc>
        <w:tc>
          <w:tcPr>
            <w:tcW w:type="dxa" w:w="1153"/>
            <w:tcMar/>
          </w:tcPr>
          <w:p>
            <w:pPr>
              <w:jc w:val="center"/>
            </w:pPr>
            <w:r>
              <w:rPr>
                <w:sz w:val="16"/>
              </w:rPr>
              <w:t>No</w:t>
            </w:r>
          </w:p>
        </w:tc>
        <w:tc>
          <w:tcPr>
            <w:tcW w:type="dxa" w:w="1153"/>
            <w:tcMar/>
          </w:tcPr>
          <w:p>
            <w:pPr>
              <w:jc w:val="center"/>
            </w:pPr>
            <w:r>
              <w:rPr>
                <w:sz w:val="16"/>
              </w:rPr>
              <w:t>No</w:t>
            </w:r>
          </w:p>
        </w:tc>
      </w:tr>
      <w:tr>
        <w:tc>
          <w:tcPr>
            <w:tcW w:type="dxa" w:w="1153"/>
            <w:tcMar/>
          </w:tcPr>
          <w:p>
            <w:pPr>
              <w:jc w:val="center"/>
            </w:pPr>
            <w:r>
              <w:rPr>
                <w:sz w:val="16"/>
              </w:rPr>
              <w:t>Qiskit Metal [46]</w:t>
            </w:r>
          </w:p>
        </w:tc>
        <w:tc>
          <w:tcPr>
            <w:tcW w:type="dxa" w:w="1153"/>
            <w:tcMar/>
          </w:tcPr>
          <w:p>
            <w:pPr>
              <w:jc w:val="center"/>
            </w:pPr>
            <w:r>
              <w:rPr>
                <w:sz w:val="16"/>
              </w:rPr>
              <w:t>Quantum EDA</w:t>
            </w:r>
          </w:p>
        </w:tc>
        <w:tc>
          <w:tcPr>
            <w:tcW w:type="dxa" w:w="1153"/>
            <w:tcMar/>
          </w:tcPr>
          <w:p>
            <w:pPr>
              <w:jc w:val="center"/>
            </w:pPr>
            <w:r>
              <w:rPr>
                <w:sz w:val="16"/>
              </w:rPr>
              <w:t>No</w:t>
            </w:r>
          </w:p>
        </w:tc>
        <w:tc>
          <w:tcPr>
            <w:tcW w:type="dxa" w:w="1153"/>
            <w:tcMar/>
          </w:tcPr>
          <w:p>
            <w:pPr>
              <w:jc w:val="center"/>
            </w:pPr>
            <w:r>
              <w:rPr>
                <w:sz w:val="16"/>
              </w:rPr>
              <w:t>Yes</w:t>
            </w:r>
          </w:p>
        </w:tc>
        <w:tc>
          <w:tcPr>
            <w:tcW w:type="dxa" w:w="1153"/>
            <w:tcMar/>
          </w:tcPr>
          <w:p>
            <w:pPr>
              <w:jc w:val="center"/>
            </w:pPr>
            <w:r>
              <w:rPr>
                <w:sz w:val="16"/>
              </w:rPr>
              <w:t>Partial</w:t>
            </w:r>
          </w:p>
        </w:tc>
        <w:tc>
          <w:tcPr>
            <w:tcW w:type="dxa" w:w="1153"/>
            <w:tcMar/>
          </w:tcPr>
          <w:p>
            <w:pPr>
              <w:jc w:val="center"/>
            </w:pPr>
            <w:r>
              <w:rPr>
                <w:sz w:val="16"/>
              </w:rPr>
              <w:t>Partial</w:t>
            </w:r>
          </w:p>
        </w:tc>
      </w:tr>
      <w:tr>
        <w:tc>
          <w:tcPr>
            <w:tcW w:type="dxa" w:w="1153"/>
            <w:tcMar/>
          </w:tcPr>
          <w:p>
            <w:pPr>
              <w:jc w:val="center"/>
            </w:pPr>
            <w:r>
              <w:rPr>
                <w:sz w:val="16"/>
              </w:rPr>
              <w:t>RL Calibration [38]</w:t>
            </w:r>
          </w:p>
        </w:tc>
        <w:tc>
          <w:tcPr>
            <w:tcW w:type="dxa" w:w="1153"/>
            <w:tcMar/>
          </w:tcPr>
          <w:p>
            <w:pPr>
              <w:jc w:val="center"/>
            </w:pPr>
            <w:r>
              <w:rPr>
                <w:sz w:val="16"/>
              </w:rPr>
              <w:t>Quantum HW</w:t>
            </w:r>
          </w:p>
        </w:tc>
        <w:tc>
          <w:tcPr>
            <w:tcW w:type="dxa" w:w="1153"/>
            <w:tcMar/>
          </w:tcPr>
          <w:p>
            <w:pPr>
              <w:jc w:val="center"/>
            </w:pPr>
            <w:r>
              <w:rPr>
                <w:sz w:val="16"/>
              </w:rPr>
              <w:t>No</w:t>
            </w:r>
          </w:p>
        </w:tc>
        <w:tc>
          <w:tcPr>
            <w:tcW w:type="dxa" w:w="1153"/>
            <w:tcMar/>
          </w:tcPr>
          <w:p>
            <w:pPr>
              <w:jc w:val="center"/>
            </w:pPr>
            <w:r>
              <w:rPr>
                <w:sz w:val="16"/>
              </w:rPr>
              <w:t>No</w:t>
            </w:r>
          </w:p>
        </w:tc>
        <w:tc>
          <w:tcPr>
            <w:tcW w:type="dxa" w:w="1153"/>
            <w:tcMar/>
          </w:tcPr>
          <w:p>
            <w:pPr>
              <w:jc w:val="center"/>
            </w:pPr>
            <w:r>
              <w:rPr>
                <w:sz w:val="16"/>
              </w:rPr>
              <w:t>No</w:t>
            </w:r>
          </w:p>
        </w:tc>
        <w:tc>
          <w:tcPr>
            <w:tcW w:type="dxa" w:w="1153"/>
            <w:tcMar/>
          </w:tcPr>
          <w:p>
            <w:pPr>
              <w:jc w:val="center"/>
            </w:pPr>
            <w:r>
              <w:rPr>
                <w:sz w:val="16"/>
              </w:rPr>
              <w:t>No</w:t>
            </w:r>
          </w:p>
        </w:tc>
      </w:tr>
      <w:tr>
        <w:tc>
          <w:tcPr>
            <w:tcW w:type="dxa" w:w="1153"/>
            <w:tcMar/>
          </w:tcPr>
          <w:p>
            <w:pPr>
              <w:jc w:val="center"/>
            </w:pPr>
            <w:r>
              <w:rPr>
                <w:sz w:val="16"/>
              </w:rPr>
              <w:t>AetherQ (ours)</w:t>
            </w:r>
          </w:p>
        </w:tc>
        <w:tc>
          <w:tcPr>
            <w:tcW w:type="dxa" w:w="1153"/>
            <w:tcMar/>
          </w:tcPr>
          <w:p>
            <w:pPr>
              <w:jc w:val="center"/>
            </w:pPr>
            <w:r>
              <w:rPr>
                <w:sz w:val="16"/>
              </w:rPr>
              <w:t>Quantum HW</w:t>
            </w:r>
          </w:p>
        </w:tc>
        <w:tc>
          <w:tcPr>
            <w:tcW w:type="dxa" w:w="1153"/>
            <w:tcMar/>
          </w:tcPr>
          <w:p>
            <w:pPr>
              <w:jc w:val="center"/>
            </w:pPr>
            <w:r>
              <w:rPr>
                <w:sz w:val="16"/>
              </w:rPr>
              <w:t>Yes (12)</w:t>
            </w:r>
          </w:p>
        </w:tc>
        <w:tc>
          <w:tcPr>
            <w:tcW w:type="dxa" w:w="1153"/>
            <w:tcMar/>
          </w:tcPr>
          <w:p>
            <w:pPr>
              <w:jc w:val="center"/>
            </w:pPr>
            <w:r>
              <w:rPr>
                <w:sz w:val="16"/>
              </w:rPr>
              <w:t>Yes</w:t>
            </w:r>
          </w:p>
        </w:tc>
        <w:tc>
          <w:tcPr>
            <w:tcW w:type="dxa" w:w="1153"/>
            <w:tcMar/>
          </w:tcPr>
          <w:p>
            <w:pPr>
              <w:jc w:val="center"/>
            </w:pPr>
            <w:r>
              <w:rPr>
                <w:sz w:val="16"/>
              </w:rPr>
              <w:t>Yes (M0-M8)</w:t>
            </w:r>
          </w:p>
        </w:tc>
        <w:tc>
          <w:tcPr>
            <w:tcW w:type="dxa" w:w="1153"/>
            <w:tcMar/>
          </w:tcPr>
          <w:p>
            <w:pPr>
              <w:jc w:val="center"/>
            </w:pPr>
            <w:r>
              <w:rPr>
                <w:sz w:val="16"/>
              </w:rPr>
              <w:t>Yes</w:t>
            </w:r>
          </w:p>
        </w:tc>
      </w:tr>
    </w:tbl>
    <w:p>
      <w:pPr>
        <w:pStyle w:val="heading1"/>
      </w:pPr>
      <w:r>
        <w:t>System Architecture</w:t>
      </w:r>
    </w:p>
    <w:p>
      <w:pPr>
        <w:pStyle w:val="p1a"/>
      </w:pPr>
      <w:r>
        <w:t>AetherQ employs a hierarchical multi-agent architecture organized into three layers: the Planning Layer, the Agent Layer, and the Tool Layer. Figure 1 illustrates the overall system architecture. The Planning Layer contains the Coordinator agent, which receives high-level research goals from the user, decomposes them into structured task graphs, and orchestrates execution across specialized agents. The Agent Layer houses twelve domain-specific agents, each equipped with role-specific system prompts, tool access permissions, and output schemas. The Tool Layer provides a unified interface to computational backends including physics simulation engines, EDA tools, data analysis libraries, and file management utilities.</w:t>
      </w:r>
    </w:p>
    <w:p>
      <w:pPr>
        <w:pStyle w:val="p1a"/>
        <w:jc w:val="center"/>
      </w:pPr>
      <w:r>
        <w:drawing>
          <wp:inline xmlns:a="http://schemas.openxmlformats.org/drawingml/2006/main" xmlns:pic="http://schemas.openxmlformats.org/drawingml/2006/picture">
            <wp:extent cx="4114800" cy="2797629"/>
            <wp:docPr id="1" name="Picture 1"/>
            <wp:cNvGraphicFramePr>
              <a:graphicFrameLocks noChangeAspect="1"/>
            </wp:cNvGraphicFramePr>
            <a:graphic>
              <a:graphicData uri="http://schemas.openxmlformats.org/drawingml/2006/picture">
                <pic:pic>
                  <pic:nvPicPr>
                    <pic:cNvPr id="0" name="fig1_architecture.png"/>
                    <pic:cNvPicPr/>
                  </pic:nvPicPr>
                  <pic:blipFill>
                    <a:blip r:embed="rId1"/>
                    <a:stretch>
                      <a:fillRect/>
                    </a:stretch>
                  </pic:blipFill>
                  <pic:spPr>
                    <a:xfrm>
                      <a:off x="0" y="0"/>
                      <a:ext cx="4114800" cy="2797629"/>
                    </a:xfrm>
                    <a:prstGeom prst="rect"/>
                  </pic:spPr>
                </pic:pic>
              </a:graphicData>
            </a:graphic>
          </wp:inline>
        </w:drawing>
      </w:r>
    </w:p>
    <w:p>
      <w:pPr>
        <w:pStyle w:val="figurecaption"/>
        <w:jc w:val="center"/>
      </w:pPr>
      <w:r>
        <w:t>Fig. 1. Overall architecture of the AetherQ system showing the three-layer hierarchy: Planning Layer (Coordinator), Agent Layer (12 specialized agents), and Tool Layer (physics engines, EDA tools, data services).</w:t>
      </w:r>
    </w:p>
    <w:p>
      <w:pPr>
        <w:pStyle w:val="heading2"/>
      </w:pPr>
      <w:r>
        <w:t>Agent Roles and Specializations</w:t>
      </w:r>
    </w:p>
    <w:p>
      <w:pPr>
        <w:pStyle w:val="p1a"/>
      </w:pPr>
      <w:r>
        <w:t>The twelve agents in AetherQ are designed to mirror the roles of a real quantum hardware research team. Each agent possesses a carefully crafted system prompt that defines its domain expertise, reasoning strategies, and output format. Figure 2 shows the agent interaction topology. The agents are as follows: (1) Coordinator: task decomposition, agent dispatch, and result aggregation; (2) Theoretical Physicist: Hamiltonian construction, energy level analysis, and coupling calculations; (3) Noise Analyst: noise budget decomposition, decoherence modeling, and sensitivity analysis; (4) Diagnostician: anomaly classification, root cause ranking, and verification experiment design; (5) Experimentalist: experiment planning, protocol design, and adaptive scheduling; (6) Simulation Engineer: electromagnetic simulation orchestration across Q3D, LOM, EPR, and eigenmode solvers; (7) Pulse Engineer: gate pulse design, DRAG optimization, and GRAPE-based optimal control; (8) Chip Designer: frequency planning, layout optimization, and design proposal synthesis; (9) GDS Engineer: physical layout generation and design rule checking; (10) Data Analyst: statistical analysis, visualization, and report generation; (11) Literature Agent: paper retrieval, citation management, and knowledge extraction; (12) Safety Monitor: constraint validation, sanity checking, and error recovery.</w:t>
      </w:r>
    </w:p>
    <w:p>
      <w:pPr>
        <w:pStyle w:val="p1a"/>
        <w:jc w:val="center"/>
      </w:pPr>
      <w:r>
        <w:drawing>
          <wp:inline xmlns:a="http://schemas.openxmlformats.org/drawingml/2006/main" xmlns:pic="http://schemas.openxmlformats.org/drawingml/2006/picture">
            <wp:extent cx="4114800" cy="1683993"/>
            <wp:docPr id="2" name="Picture 2"/>
            <wp:cNvGraphicFramePr>
              <a:graphicFrameLocks noChangeAspect="1"/>
            </wp:cNvGraphicFramePr>
            <a:graphic>
              <a:graphicData uri="http://schemas.openxmlformats.org/drawingml/2006/picture">
                <pic:pic>
                  <pic:nvPicPr>
                    <pic:cNvPr id="0" name="fig2_agents.png"/>
                    <pic:cNvPicPr/>
                  </pic:nvPicPr>
                  <pic:blipFill>
                    <a:blip r:embed="rId19"/>
                    <a:stretch>
                      <a:fillRect/>
                    </a:stretch>
                  </pic:blipFill>
                  <pic:spPr>
                    <a:xfrm>
                      <a:off x="0" y="0"/>
                      <a:ext cx="4114800" cy="1683993"/>
                    </a:xfrm>
                    <a:prstGeom prst="rect"/>
                  </pic:spPr>
                </pic:pic>
              </a:graphicData>
            </a:graphic>
          </wp:inline>
        </w:drawing>
      </w:r>
    </w:p>
    <w:p>
      <w:pPr>
        <w:pStyle w:val="figurecaption"/>
        <w:jc w:val="center"/>
      </w:pPr>
      <w:r>
        <w:t>Fig. 2. Agent interaction topology in AetherQ. Arrows indicate information flow between agents. The Coordinator (center) dispatches tasks to specialized agents, which may invoke sub-tasks on other agents through structured requests.</w:t>
      </w:r>
    </w:p>
    <w:p>
      <w:pPr>
        <w:pStyle w:val="tablecaption"/>
        <w:jc w:val="center"/>
      </w:pPr>
      <w:r>
        <w:t>Table 2. Summary of AetherQ agent roles, primary tools, and output types.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9"/>
        <w:gridCol w:w="1729"/>
        <w:gridCol w:w="1729"/>
        <w:gridCol w:w="1729"/>
      </w:tblGrid>
      <w:tr>
        <w:tc>
          <w:tcPr>
            <w:tcW w:type="dxa" w:w="1729"/>
            <w:tcMar/>
          </w:tcPr>
          <w:p>
            <w:pPr>
              <w:jc w:val="center"/>
            </w:pPr>
            <w:r>
              <w:rPr>
                <w:b/>
                <w:sz w:val="16"/>
              </w:rPr>
              <w:t>Agent</w:t>
            </w:r>
          </w:p>
        </w:tc>
        <w:tc>
          <w:tcPr>
            <w:tcW w:type="dxa" w:w="1729"/>
            <w:tcMar/>
          </w:tcPr>
          <w:p>
            <w:pPr>
              <w:jc w:val="center"/>
            </w:pPr>
            <w:r>
              <w:rPr>
                <w:b/>
                <w:sz w:val="16"/>
              </w:rPr>
              <w:t>Primary Role</w:t>
            </w:r>
          </w:p>
        </w:tc>
        <w:tc>
          <w:tcPr>
            <w:tcW w:type="dxa" w:w="1729"/>
            <w:tcMar/>
          </w:tcPr>
          <w:p>
            <w:pPr>
              <w:jc w:val="center"/>
            </w:pPr>
            <w:r>
              <w:rPr>
                <w:b/>
                <w:sz w:val="16"/>
              </w:rPr>
              <w:t>Key Tools</w:t>
            </w:r>
          </w:p>
        </w:tc>
        <w:tc>
          <w:tcPr>
            <w:tcW w:type="dxa" w:w="1729"/>
            <w:tcMar/>
          </w:tcPr>
          <w:p>
            <w:pPr>
              <w:jc w:val="center"/>
            </w:pPr>
            <w:r>
              <w:rPr>
                <w:b/>
                <w:sz w:val="16"/>
              </w:rPr>
              <w:t>Output Type</w:t>
            </w:r>
          </w:p>
        </w:tc>
      </w:tr>
      <w:tr>
        <w:tc>
          <w:tcPr>
            <w:tcW w:type="dxa" w:w="1729"/>
            <w:tcMar/>
          </w:tcPr>
          <w:p>
            <w:pPr>
              <w:jc w:val="center"/>
            </w:pPr>
            <w:r>
              <w:rPr>
                <w:sz w:val="16"/>
              </w:rPr>
              <w:t>Coordinator</w:t>
            </w:r>
          </w:p>
        </w:tc>
        <w:tc>
          <w:tcPr>
            <w:tcW w:type="dxa" w:w="1729"/>
            <w:tcMar/>
          </w:tcPr>
          <w:p>
            <w:pPr>
              <w:jc w:val="center"/>
            </w:pPr>
            <w:r>
              <w:rPr>
                <w:sz w:val="16"/>
              </w:rPr>
              <w:t>Task decomposition</w:t>
            </w:r>
          </w:p>
        </w:tc>
        <w:tc>
          <w:tcPr>
            <w:tcW w:type="dxa" w:w="1729"/>
            <w:tcMar/>
          </w:tcPr>
          <w:p>
            <w:pPr>
              <w:jc w:val="center"/>
            </w:pPr>
            <w:r>
              <w:rPr>
                <w:sz w:val="16"/>
              </w:rPr>
              <w:t>Planner, Dispatcher</w:t>
            </w:r>
          </w:p>
        </w:tc>
        <w:tc>
          <w:tcPr>
            <w:tcW w:type="dxa" w:w="1729"/>
            <w:tcMar/>
          </w:tcPr>
          <w:p>
            <w:pPr>
              <w:jc w:val="center"/>
            </w:pPr>
            <w:r>
              <w:rPr>
                <w:sz w:val="16"/>
              </w:rPr>
              <w:t>Task graph</w:t>
            </w:r>
          </w:p>
        </w:tc>
      </w:tr>
      <w:tr>
        <w:tc>
          <w:tcPr>
            <w:tcW w:type="dxa" w:w="1729"/>
            <w:tcMar/>
          </w:tcPr>
          <w:p>
            <w:pPr>
              <w:jc w:val="center"/>
            </w:pPr>
            <w:r>
              <w:rPr>
                <w:sz w:val="16"/>
              </w:rPr>
              <w:t>Theoretical Physicist</w:t>
            </w:r>
          </w:p>
        </w:tc>
        <w:tc>
          <w:tcPr>
            <w:tcW w:type="dxa" w:w="1729"/>
            <w:tcMar/>
          </w:tcPr>
          <w:p>
            <w:pPr>
              <w:jc w:val="center"/>
            </w:pPr>
            <w:r>
              <w:rPr>
                <w:sz w:val="16"/>
              </w:rPr>
              <w:t>Hamiltonian modeling</w:t>
            </w:r>
          </w:p>
        </w:tc>
        <w:tc>
          <w:tcPr>
            <w:tcW w:type="dxa" w:w="1729"/>
            <w:tcMar/>
          </w:tcPr>
          <w:p>
            <w:pPr>
              <w:jc w:val="center"/>
            </w:pPr>
            <w:r>
              <w:rPr>
                <w:sz w:val="16"/>
              </w:rPr>
              <w:t>M0-M2 modules</w:t>
            </w:r>
          </w:p>
        </w:tc>
        <w:tc>
          <w:tcPr>
            <w:tcW w:type="dxa" w:w="1729"/>
            <w:tcMar/>
          </w:tcPr>
          <w:p>
            <w:pPr>
              <w:jc w:val="center"/>
            </w:pPr>
            <w:r>
              <w:rPr>
                <w:sz w:val="16"/>
              </w:rPr>
              <w:t>Parameter JSON</w:t>
            </w:r>
          </w:p>
        </w:tc>
      </w:tr>
      <w:tr>
        <w:tc>
          <w:tcPr>
            <w:tcW w:type="dxa" w:w="1729"/>
            <w:tcMar/>
          </w:tcPr>
          <w:p>
            <w:pPr>
              <w:jc w:val="center"/>
            </w:pPr>
            <w:r>
              <w:rPr>
                <w:sz w:val="16"/>
              </w:rPr>
              <w:t>Noise Analyst</w:t>
            </w:r>
          </w:p>
        </w:tc>
        <w:tc>
          <w:tcPr>
            <w:tcW w:type="dxa" w:w="1729"/>
            <w:tcMar/>
          </w:tcPr>
          <w:p>
            <w:pPr>
              <w:jc w:val="center"/>
            </w:pPr>
            <w:r>
              <w:rPr>
                <w:sz w:val="16"/>
              </w:rPr>
              <w:t>Decoherence analysis</w:t>
            </w:r>
          </w:p>
        </w:tc>
        <w:tc>
          <w:tcPr>
            <w:tcW w:type="dxa" w:w="1729"/>
            <w:tcMar/>
          </w:tcPr>
          <w:p>
            <w:pPr>
              <w:jc w:val="center"/>
            </w:pPr>
            <w:r>
              <w:rPr>
                <w:sz w:val="16"/>
              </w:rPr>
              <w:t>M3 module</w:t>
            </w:r>
          </w:p>
        </w:tc>
        <w:tc>
          <w:tcPr>
            <w:tcW w:type="dxa" w:w="1729"/>
            <w:tcMar/>
          </w:tcPr>
          <w:p>
            <w:pPr>
              <w:jc w:val="center"/>
            </w:pPr>
            <w:r>
              <w:rPr>
                <w:sz w:val="16"/>
              </w:rPr>
              <w:t>Noise budget</w:t>
            </w:r>
          </w:p>
        </w:tc>
      </w:tr>
      <w:tr>
        <w:tc>
          <w:tcPr>
            <w:tcW w:type="dxa" w:w="1729"/>
            <w:tcMar/>
          </w:tcPr>
          <w:p>
            <w:pPr>
              <w:jc w:val="center"/>
            </w:pPr>
            <w:r>
              <w:rPr>
                <w:sz w:val="16"/>
              </w:rPr>
              <w:t>Diagnostician</w:t>
            </w:r>
          </w:p>
        </w:tc>
        <w:tc>
          <w:tcPr>
            <w:tcW w:type="dxa" w:w="1729"/>
            <w:tcMar/>
          </w:tcPr>
          <w:p>
            <w:pPr>
              <w:jc w:val="center"/>
            </w:pPr>
            <w:r>
              <w:rPr>
                <w:sz w:val="16"/>
              </w:rPr>
              <w:t>Anomaly diagnosis</w:t>
            </w:r>
          </w:p>
        </w:tc>
        <w:tc>
          <w:tcPr>
            <w:tcW w:type="dxa" w:w="1729"/>
            <w:tcMar/>
          </w:tcPr>
          <w:p>
            <w:pPr>
              <w:jc w:val="center"/>
            </w:pPr>
            <w:r>
              <w:rPr>
                <w:sz w:val="16"/>
              </w:rPr>
              <w:t>M4 module</w:t>
            </w:r>
          </w:p>
        </w:tc>
        <w:tc>
          <w:tcPr>
            <w:tcW w:type="dxa" w:w="1729"/>
            <w:tcMar/>
          </w:tcPr>
          <w:p>
            <w:pPr>
              <w:jc w:val="center"/>
            </w:pPr>
            <w:r>
              <w:rPr>
                <w:sz w:val="16"/>
              </w:rPr>
              <w:t>Ranked causes</w:t>
            </w:r>
          </w:p>
        </w:tc>
      </w:tr>
      <w:tr>
        <w:tc>
          <w:tcPr>
            <w:tcW w:type="dxa" w:w="1729"/>
            <w:tcMar/>
          </w:tcPr>
          <w:p>
            <w:pPr>
              <w:jc w:val="center"/>
            </w:pPr>
            <w:r>
              <w:rPr>
                <w:sz w:val="16"/>
              </w:rPr>
              <w:t>Experimentalist</w:t>
            </w:r>
          </w:p>
        </w:tc>
        <w:tc>
          <w:tcPr>
            <w:tcW w:type="dxa" w:w="1729"/>
            <w:tcMar/>
          </w:tcPr>
          <w:p>
            <w:pPr>
              <w:jc w:val="center"/>
            </w:pPr>
            <w:r>
              <w:rPr>
                <w:sz w:val="16"/>
              </w:rPr>
              <w:t>Experiment planning</w:t>
            </w:r>
          </w:p>
        </w:tc>
        <w:tc>
          <w:tcPr>
            <w:tcW w:type="dxa" w:w="1729"/>
            <w:tcMar/>
          </w:tcPr>
          <w:p>
            <w:pPr>
              <w:jc w:val="center"/>
            </w:pPr>
            <w:r>
              <w:rPr>
                <w:sz w:val="16"/>
              </w:rPr>
              <w:t>M5 module</w:t>
            </w:r>
          </w:p>
        </w:tc>
        <w:tc>
          <w:tcPr>
            <w:tcW w:type="dxa" w:w="1729"/>
            <w:tcMar/>
          </w:tcPr>
          <w:p>
            <w:pPr>
              <w:jc w:val="center"/>
            </w:pPr>
            <w:r>
              <w:rPr>
                <w:sz w:val="16"/>
              </w:rPr>
              <w:t>Experiment plan</w:t>
            </w:r>
          </w:p>
        </w:tc>
      </w:tr>
      <w:tr>
        <w:tc>
          <w:tcPr>
            <w:tcW w:type="dxa" w:w="1729"/>
            <w:tcMar/>
          </w:tcPr>
          <w:p>
            <w:pPr>
              <w:jc w:val="center"/>
            </w:pPr>
            <w:r>
              <w:rPr>
                <w:sz w:val="16"/>
              </w:rPr>
              <w:t>Simulation Engineer</w:t>
            </w:r>
          </w:p>
        </w:tc>
        <w:tc>
          <w:tcPr>
            <w:tcW w:type="dxa" w:w="1729"/>
            <w:tcMar/>
          </w:tcPr>
          <w:p>
            <w:pPr>
              <w:jc w:val="center"/>
            </w:pPr>
            <w:r>
              <w:rPr>
                <w:sz w:val="16"/>
              </w:rPr>
              <w:t>EM simulation</w:t>
            </w:r>
          </w:p>
        </w:tc>
        <w:tc>
          <w:tcPr>
            <w:tcW w:type="dxa" w:w="1729"/>
            <w:tcMar/>
          </w:tcPr>
          <w:p>
            <w:pPr>
              <w:jc w:val="center"/>
            </w:pPr>
            <w:r>
              <w:rPr>
                <w:sz w:val="16"/>
              </w:rPr>
              <w:t>M6 module, Ansys</w:t>
            </w:r>
          </w:p>
        </w:tc>
        <w:tc>
          <w:tcPr>
            <w:tcW w:type="dxa" w:w="1729"/>
            <w:tcMar/>
          </w:tcPr>
          <w:p>
            <w:pPr>
              <w:jc w:val="center"/>
            </w:pPr>
            <w:r>
              <w:rPr>
                <w:sz w:val="16"/>
              </w:rPr>
              <w:t>Sim results</w:t>
            </w:r>
          </w:p>
        </w:tc>
      </w:tr>
      <w:tr>
        <w:tc>
          <w:tcPr>
            <w:tcW w:type="dxa" w:w="1729"/>
            <w:tcMar/>
          </w:tcPr>
          <w:p>
            <w:pPr>
              <w:jc w:val="center"/>
            </w:pPr>
            <w:r>
              <w:rPr>
                <w:sz w:val="16"/>
              </w:rPr>
              <w:t>Pulse Engineer</w:t>
            </w:r>
          </w:p>
        </w:tc>
        <w:tc>
          <w:tcPr>
            <w:tcW w:type="dxa" w:w="1729"/>
            <w:tcMar/>
          </w:tcPr>
          <w:p>
            <w:pPr>
              <w:jc w:val="center"/>
            </w:pPr>
            <w:r>
              <w:rPr>
                <w:sz w:val="16"/>
              </w:rPr>
              <w:t>Gate optimization</w:t>
            </w:r>
          </w:p>
        </w:tc>
        <w:tc>
          <w:tcPr>
            <w:tcW w:type="dxa" w:w="1729"/>
            <w:tcMar/>
          </w:tcPr>
          <w:p>
            <w:pPr>
              <w:jc w:val="center"/>
            </w:pPr>
            <w:r>
              <w:rPr>
                <w:sz w:val="16"/>
              </w:rPr>
              <w:t>M7 module</w:t>
            </w:r>
          </w:p>
        </w:tc>
        <w:tc>
          <w:tcPr>
            <w:tcW w:type="dxa" w:w="1729"/>
            <w:tcMar/>
          </w:tcPr>
          <w:p>
            <w:pPr>
              <w:jc w:val="center"/>
            </w:pPr>
            <w:r>
              <w:rPr>
                <w:sz w:val="16"/>
              </w:rPr>
              <w:t>Pulse params</w:t>
            </w:r>
          </w:p>
        </w:tc>
      </w:tr>
      <w:tr>
        <w:tc>
          <w:tcPr>
            <w:tcW w:type="dxa" w:w="1729"/>
            <w:tcMar/>
          </w:tcPr>
          <w:p>
            <w:pPr>
              <w:jc w:val="center"/>
            </w:pPr>
            <w:r>
              <w:rPr>
                <w:sz w:val="16"/>
              </w:rPr>
              <w:t>Chip Designer</w:t>
            </w:r>
          </w:p>
        </w:tc>
        <w:tc>
          <w:tcPr>
            <w:tcW w:type="dxa" w:w="1729"/>
            <w:tcMar/>
          </w:tcPr>
          <w:p>
            <w:pPr>
              <w:jc w:val="center"/>
            </w:pPr>
            <w:r>
              <w:rPr>
                <w:sz w:val="16"/>
              </w:rPr>
              <w:t>Design synthesis</w:t>
            </w:r>
          </w:p>
        </w:tc>
        <w:tc>
          <w:tcPr>
            <w:tcW w:type="dxa" w:w="1729"/>
            <w:tcMar/>
          </w:tcPr>
          <w:p>
            <w:pPr>
              <w:jc w:val="center"/>
            </w:pPr>
            <w:r>
              <w:rPr>
                <w:sz w:val="16"/>
              </w:rPr>
              <w:t>M8 module</w:t>
            </w:r>
          </w:p>
        </w:tc>
        <w:tc>
          <w:tcPr>
            <w:tcW w:type="dxa" w:w="1729"/>
            <w:tcMar/>
          </w:tcPr>
          <w:p>
            <w:pPr>
              <w:jc w:val="center"/>
            </w:pPr>
            <w:r>
              <w:rPr>
                <w:sz w:val="16"/>
              </w:rPr>
              <w:t>Design proposal</w:t>
            </w:r>
          </w:p>
        </w:tc>
      </w:tr>
      <w:tr>
        <w:tc>
          <w:tcPr>
            <w:tcW w:type="dxa" w:w="1729"/>
            <w:tcMar/>
          </w:tcPr>
          <w:p>
            <w:pPr>
              <w:jc w:val="center"/>
            </w:pPr>
            <w:r>
              <w:rPr>
                <w:sz w:val="16"/>
              </w:rPr>
              <w:t>GDS Engineer</w:t>
            </w:r>
          </w:p>
        </w:tc>
        <w:tc>
          <w:tcPr>
            <w:tcW w:type="dxa" w:w="1729"/>
            <w:tcMar/>
          </w:tcPr>
          <w:p>
            <w:pPr>
              <w:jc w:val="center"/>
            </w:pPr>
            <w:r>
              <w:rPr>
                <w:sz w:val="16"/>
              </w:rPr>
              <w:t>Layout generation</w:t>
            </w:r>
          </w:p>
        </w:tc>
        <w:tc>
          <w:tcPr>
            <w:tcW w:type="dxa" w:w="1729"/>
            <w:tcMar/>
          </w:tcPr>
          <w:p>
            <w:pPr>
              <w:jc w:val="center"/>
            </w:pPr>
            <w:r>
              <w:rPr>
                <w:sz w:val="16"/>
              </w:rPr>
              <w:t>gdspy, KLayout</w:t>
            </w:r>
          </w:p>
        </w:tc>
        <w:tc>
          <w:tcPr>
            <w:tcW w:type="dxa" w:w="1729"/>
            <w:tcMar/>
          </w:tcPr>
          <w:p>
            <w:pPr>
              <w:jc w:val="center"/>
            </w:pPr>
            <w:r>
              <w:rPr>
                <w:sz w:val="16"/>
              </w:rPr>
              <w:t>GDS-II file</w:t>
            </w:r>
          </w:p>
        </w:tc>
      </w:tr>
      <w:tr>
        <w:tc>
          <w:tcPr>
            <w:tcW w:type="dxa" w:w="1729"/>
            <w:tcMar/>
          </w:tcPr>
          <w:p>
            <w:pPr>
              <w:jc w:val="center"/>
            </w:pPr>
            <w:r>
              <w:rPr>
                <w:sz w:val="16"/>
              </w:rPr>
              <w:t>Data Analyst</w:t>
            </w:r>
          </w:p>
        </w:tc>
        <w:tc>
          <w:tcPr>
            <w:tcW w:type="dxa" w:w="1729"/>
            <w:tcMar/>
          </w:tcPr>
          <w:p>
            <w:pPr>
              <w:jc w:val="center"/>
            </w:pPr>
            <w:r>
              <w:rPr>
                <w:sz w:val="16"/>
              </w:rPr>
              <w:t>Data processing</w:t>
            </w:r>
          </w:p>
        </w:tc>
        <w:tc>
          <w:tcPr>
            <w:tcW w:type="dxa" w:w="1729"/>
            <w:tcMar/>
          </w:tcPr>
          <w:p>
            <w:pPr>
              <w:jc w:val="center"/>
            </w:pPr>
            <w:r>
              <w:rPr>
                <w:sz w:val="16"/>
              </w:rPr>
              <w:t>NumPy, SciPy</w:t>
            </w:r>
          </w:p>
        </w:tc>
        <w:tc>
          <w:tcPr>
            <w:tcW w:type="dxa" w:w="1729"/>
            <w:tcMar/>
          </w:tcPr>
          <w:p>
            <w:pPr>
              <w:jc w:val="center"/>
            </w:pPr>
            <w:r>
              <w:rPr>
                <w:sz w:val="16"/>
              </w:rPr>
              <w:t>Analysis report</w:t>
            </w:r>
          </w:p>
        </w:tc>
      </w:tr>
      <w:tr>
        <w:tc>
          <w:tcPr>
            <w:tcW w:type="dxa" w:w="1729"/>
            <w:tcMar/>
          </w:tcPr>
          <w:p>
            <w:pPr>
              <w:jc w:val="center"/>
            </w:pPr>
            <w:r>
              <w:rPr>
                <w:sz w:val="16"/>
              </w:rPr>
              <w:t>Literature Agent</w:t>
            </w:r>
          </w:p>
        </w:tc>
        <w:tc>
          <w:tcPr>
            <w:tcW w:type="dxa" w:w="1729"/>
            <w:tcMar/>
          </w:tcPr>
          <w:p>
            <w:pPr>
              <w:jc w:val="center"/>
            </w:pPr>
            <w:r>
              <w:rPr>
                <w:sz w:val="16"/>
              </w:rPr>
              <w:t>Knowledge retrieval</w:t>
            </w:r>
          </w:p>
        </w:tc>
        <w:tc>
          <w:tcPr>
            <w:tcW w:type="dxa" w:w="1729"/>
            <w:tcMar/>
          </w:tcPr>
          <w:p>
            <w:pPr>
              <w:jc w:val="center"/>
            </w:pPr>
            <w:r>
              <w:rPr>
                <w:sz w:val="16"/>
              </w:rPr>
              <w:t>Semantic Scholar</w:t>
            </w:r>
          </w:p>
        </w:tc>
        <w:tc>
          <w:tcPr>
            <w:tcW w:type="dxa" w:w="1729"/>
            <w:tcMar/>
          </w:tcPr>
          <w:p>
            <w:pPr>
              <w:jc w:val="center"/>
            </w:pPr>
            <w:r>
              <w:rPr>
                <w:sz w:val="16"/>
              </w:rPr>
              <w:t>Citations</w:t>
            </w:r>
          </w:p>
        </w:tc>
      </w:tr>
      <w:tr>
        <w:tc>
          <w:tcPr>
            <w:tcW w:type="dxa" w:w="1729"/>
            <w:tcMar/>
          </w:tcPr>
          <w:p>
            <w:pPr>
              <w:jc w:val="center"/>
            </w:pPr>
            <w:r>
              <w:rPr>
                <w:sz w:val="16"/>
              </w:rPr>
              <w:t>Safety Monitor</w:t>
            </w:r>
          </w:p>
        </w:tc>
        <w:tc>
          <w:tcPr>
            <w:tcW w:type="dxa" w:w="1729"/>
            <w:tcMar/>
          </w:tcPr>
          <w:p>
            <w:pPr>
              <w:jc w:val="center"/>
            </w:pPr>
            <w:r>
              <w:rPr>
                <w:sz w:val="16"/>
              </w:rPr>
              <w:t>Constraint checking</w:t>
            </w:r>
          </w:p>
        </w:tc>
        <w:tc>
          <w:tcPr>
            <w:tcW w:type="dxa" w:w="1729"/>
            <w:tcMar/>
          </w:tcPr>
          <w:p>
            <w:pPr>
              <w:jc w:val="center"/>
            </w:pPr>
            <w:r>
              <w:rPr>
                <w:sz w:val="16"/>
              </w:rPr>
              <w:t>Validators</w:t>
            </w:r>
          </w:p>
        </w:tc>
        <w:tc>
          <w:tcPr>
            <w:tcW w:type="dxa" w:w="1729"/>
            <w:tcMar/>
          </w:tcPr>
          <w:p>
            <w:pPr>
              <w:jc w:val="center"/>
            </w:pPr>
            <w:r>
              <w:rPr>
                <w:sz w:val="16"/>
              </w:rPr>
              <w:t>Pass/fail</w:t>
            </w:r>
          </w:p>
        </w:tc>
      </w:tr>
    </w:tbl>
    <w:p>
      <w:pPr>
        <w:pStyle w:val="heading2"/>
      </w:pPr>
      <w:r>
        <w:t>Tool-Call Protocol and Graceful Degradation</w:t>
      </w:r>
    </w:p>
    <w:p>
      <w:pPr>
        <w:pStyle w:val="p1a"/>
      </w:pPr>
      <w:r>
        <w:t>Communication between agents and tools follows a structured tool-call protocol inspired by the function-calling capabilities of modern LLMs [17]. Each tool call consists of a function name, typed input parameters, and a structured JSON output. Figure 3 illustrates the tool-call loop. When an agent needs to perform a computation, it issues a tool call with specified parameters. The Tool Layer validates the inputs, executes the computation, and returns structured results. The agent then interprets the results and decides whether to issue additional tool calls, request help from another agent, or return its final output to the Coordinator.</w:t>
      </w:r>
    </w:p>
    <w:p>
      <w:pPr>
        <w:pStyle w:val="p1a"/>
        <w:jc w:val="center"/>
      </w:pPr>
      <w:r>
        <w:drawing>
          <wp:inline xmlns:a="http://schemas.openxmlformats.org/drawingml/2006/main" xmlns:pic="http://schemas.openxmlformats.org/drawingml/2006/picture">
            <wp:extent cx="4114800" cy="2280338"/>
            <wp:docPr id="3" name="Picture 3"/>
            <wp:cNvGraphicFramePr>
              <a:graphicFrameLocks noChangeAspect="1"/>
            </wp:cNvGraphicFramePr>
            <a:graphic>
              <a:graphicData uri="http://schemas.openxmlformats.org/drawingml/2006/picture">
                <pic:pic>
                  <pic:nvPicPr>
                    <pic:cNvPr id="0" name="fig3_toolcall.png"/>
                    <pic:cNvPicPr/>
                  </pic:nvPicPr>
                  <pic:blipFill>
                    <a:blip r:embed="rId20"/>
                    <a:stretch>
                      <a:fillRect/>
                    </a:stretch>
                  </pic:blipFill>
                  <pic:spPr>
                    <a:xfrm>
                      <a:off x="0" y="0"/>
                      <a:ext cx="4114800" cy="2280338"/>
                    </a:xfrm>
                    <a:prstGeom prst="rect"/>
                  </pic:spPr>
                </pic:pic>
              </a:graphicData>
            </a:graphic>
          </wp:inline>
        </w:drawing>
      </w:r>
    </w:p>
    <w:p>
      <w:pPr>
        <w:pStyle w:val="figurecaption"/>
        <w:jc w:val="center"/>
      </w:pPr>
      <w:r>
        <w:t>Fig. 3. The tool-call protocol loop in AetherQ. Each agent iteratively issues tool calls, receives structured results, and refines its reasoning until a termination condition is met or the maximum iteration count is reached.</w:t>
      </w:r>
    </w:p>
    <w:p>
      <w:pPr>
        <w:pStyle w:val="p1a"/>
      </w:pPr>
      <w:r>
        <w:t>A critical design feature of AetherQ is its graceful degradation mechanism. In real-world quantum chip research, tools may fail due to license issues, numerical convergence problems, or hardware limitations. When a tool call fails, the system implements a three-tier fallback strategy: (1) Retry with modified parameters, such as relaxed convergence criteria or reduced mesh density; (2) Substitute with an alternative tool that provides approximate results, for example replacing a full HFSS simulation with an analytical estimate; (3) Flag the failure, record the partial results, and continue with the remaining tasks while noting the degraded confidence in the affected outputs. This approach ensures that a single tool failure does not halt the entire research pipeline, a common frustration in manual workflows where a failed simulation can block progress for days.</w:t>
      </w:r>
    </w:p>
    <w:p>
      <w:pPr/>
      <w:r>
        <w:t>The graceful degradation mechanism operates at the adapter level within the Hands layer. Each of the ten platform adapters implements a connection check function that dynamically detects whether the target service is available. When the service is reachable, the adapter issues real API calls and returns authentic results. When unavailable, it falls back to physics-informed mock responses that maintain the correct data schema and provide analytically computed values rather than empty or random data. For example, the simulation adapter returns approximate eigenmode frequencies computed from analytical transmon formulas when Ansys HFSS is not installed, while the CHIPMES adapter returns representative manufacturing data when the MES database is offline. This dual-mode design ensures that agents can complete their reasoning chains even in partially configured environments, a common situation in research labs where instrument availability varies day to day.</w:t>
      </w:r>
    </w:p>
    <w:p>
      <w:pPr>
        <w:pStyle w:val="p1a"/>
      </w:pPr>
      <w:r>
        <w:t>The inter-agent communication protocol supports both synchronous and asynchronous message passing. Synchronous calls are used when an agent requires the output of another agent before proceeding, such as when the Pulse Engineer needs the Hamiltonian parameters from the Theoretical Physicist. Asynchronous calls are used for independent tasks that can execute in parallel, such as running electromagnetic simulations for different qubits simultaneously. The Coordinator maintains a task dependency graph and schedules agent invocations to maximize parallelism while respecting data dependencies. Each agent maintains a local context window that includes the task description, relevant prior results, and any domain-specific constraints. This context is constructed by the Coordinator based on the task graph and is designed to provide each agent with the minimum information needed to perform its task effectively.</w:t>
      </w:r>
    </w:p>
    <w:p>
      <w:pPr>
        <w:pStyle w:val="heading2"/>
      </w:pPr>
      <w:r>
        <w:t>Autonomous Heartbeat Engine</w:t>
      </w:r>
    </w:p>
    <w:p>
      <w:pPr>
        <w:pStyle w:val="p1a"/>
      </w:pPr>
      <w:r>
        <w:t>A distinctive feature of AetherQ is its autonomous heartbeat engine, which operates continuously in the background without requiring explicit user commands. The engine implements four escalating intelligence tiers, each with a different monitoring cadence and analytical depth. Tier L0 (5-minute cadence) performs real-time equipment status checks, monitoring device alarms, ETL pipeline health, and communication link integrity. Tier L1 (6-hour cadence) conducts data quality audits, including calibration table freshness checks, yield trend analysis against configurable thresholds, and statistical process control (SPC) violation detection. Tier L2 (12-hour cadence) generates experiment suggestions by analyzing qubit characterization data for anomalies such as T1 values falling below expected thresholds, frequency drift patterns, or readout fidelity degradation. Tier L3 (24-hour cadence) performs cross-domain correlation mining, seeking non-obvious relationships between design parameters, fabrication metrics, and measurement outcomes.</w:t>
      </w:r>
    </w:p>
    <w:p>
      <w:pPr/>
      <w:r>
        <w:t>The heartbeat engine proved particularly valuable during our experimental evaluation. In a 24-hour monitoring period, it autonomously detected an equipment alarm, flagged a yield decline below the 90% threshold, identified a qubit with degraded T1, and discovered a correlation between calibration fidelity and fabrication yield that would typically require a data analyst to manually join datasets from the manufacturing execution system and the measurement database. This capability transforms the system from a passive tool that responds to queries into an active research partner that proactively surfaces insights. The design follows the principle that the most valuable discoveries in experimental science often come not from answering specific questions but from noticing unexpected patterns in routine data that humans might overlook due to cognitive load or data siloing.</w:t>
      </w:r>
    </w:p>
    <w:p>
      <w:pPr>
        <w:pStyle w:val="heading1"/>
      </w:pPr>
      <w:r>
        <w:t>Theoretical Physicist Agent and Physics Modules</w:t>
      </w:r>
    </w:p>
    <w:p>
      <w:pPr>
        <w:pStyle w:val="p1a"/>
      </w:pPr>
      <w:r>
        <w:t>The Theoretical Physicist agent is the core knowledge engine of AetherQ, responsible for constructing and analyzing the quantum Hamiltonian of the superconducting chip. It operates through nine physics modules (M0 through M8), each implementing a specific computational workflow. Figure 4 shows the module architecture and data flow.</w:t>
      </w:r>
    </w:p>
    <w:p>
      <w:pPr>
        <w:pStyle w:val="p1a"/>
        <w:jc w:val="center"/>
      </w:pPr>
      <w:r>
        <w:drawing>
          <wp:inline xmlns:a="http://schemas.openxmlformats.org/drawingml/2006/main" xmlns:pic="http://schemas.openxmlformats.org/drawingml/2006/picture">
            <wp:extent cx="4114800" cy="2247764"/>
            <wp:docPr id="4" name="Picture 4"/>
            <wp:cNvGraphicFramePr>
              <a:graphicFrameLocks noChangeAspect="1"/>
            </wp:cNvGraphicFramePr>
            <a:graphic>
              <a:graphicData uri="http://schemas.openxmlformats.org/drawingml/2006/picture">
                <pic:pic>
                  <pic:nvPicPr>
                    <pic:cNvPr id="0" name="fig4_modules.png"/>
                    <pic:cNvPicPr/>
                  </pic:nvPicPr>
                  <pic:blipFill>
                    <a:blip r:embed="rId21"/>
                    <a:stretch>
                      <a:fillRect/>
                    </a:stretch>
                  </pic:blipFill>
                  <pic:spPr>
                    <a:xfrm>
                      <a:off x="0" y="0"/>
                      <a:ext cx="4114800" cy="2247764"/>
                    </a:xfrm>
                    <a:prstGeom prst="rect"/>
                  </pic:spPr>
                </pic:pic>
              </a:graphicData>
            </a:graphic>
          </wp:inline>
        </w:drawing>
      </w:r>
    </w:p>
    <w:p>
      <w:pPr>
        <w:pStyle w:val="figurecaption"/>
        <w:jc w:val="center"/>
      </w:pPr>
      <w:r>
        <w:t>Fig. 4. The nine physics modules (M0-M8) of the Theoretical Physicist agent. Data flows from chip specification (top) through Hamiltonian construction, noise analysis, diagnosis, experiment planning, simulation, optimization, and design proposal generation (bottom).</w:t>
      </w:r>
    </w:p>
    <w:p>
      <w:pPr>
        <w:pStyle w:val="heading2"/>
      </w:pPr>
      <w:r>
        <w:t>M0: Qubit Parameter Extraction</w:t>
      </w:r>
    </w:p>
    <w:p>
      <w:pPr>
        <w:pStyle w:val="p1a"/>
      </w:pPr>
      <w:r>
        <w:t>Module M0 computes the fundamental parameters of each transmon qubit from the chip specification. For a transmon qubit with Josephson energy EJ and charging energy EC, the transition frequency is given by:</w:t>
      </w:r>
    </w:p>
    <w:p>
      <w:pPr>
        <w:pStyle w:val="equation"/>
      </w:pPr>
      <w:r>
        <w:t>f_01 = (1/h) * (sqrt(8 * EJ * EC) - EC)</w:t>
      </w:r>
    </w:p>
    <w:p>
      <w:pPr>
        <w:pStyle w:val="p1a"/>
      </w:pPr>
      <w:r>
        <w:t>where h is Planck's constant. The anharmonicity, which quantifies the deviation from a harmonic oscillator and is critical for addressability of the computational states, is approximated as alpha = -EC in the transmon regime (EJ/EC &gt;&gt; 1). For the 20-qubit chip under study, M0 extracts EJ values ranging from 13.778 GHz to 14.833 GHz with a uniform EC of 0.26 GHz, yielding EJ/EC ratios of approximately 54.7, well within the transmon regime where charge noise is exponentially suppressed [3]. The module also validates that the two-level approximation remains valid by checking that the anharmonicity magnitude (260 MHz) significantly exceeds the Rabi drive strength (typically 10-50 MHz), ensuring negligible leakage to non-computational states during gate operations [49].</w:t>
      </w:r>
    </w:p>
    <w:p>
      <w:pPr>
        <w:pStyle w:val="heading2"/>
      </w:pPr>
      <w:r>
        <w:t>M1: Coupling Analysis</w:t>
      </w:r>
    </w:p>
    <w:p>
      <w:pPr>
        <w:pStyle w:val="p1a"/>
      </w:pPr>
      <w:r>
        <w:t>Module M1 analyzes the coupling network between qubits. For capacitively coupled transmons with a tunable coupler, the effective coupling strength is:</w:t>
      </w:r>
    </w:p>
    <w:p>
      <w:pPr>
        <w:pStyle w:val="equation"/>
      </w:pPr>
      <w:r>
        <w:t>g_eff = g_direct + g1c * g2c / Delta_c</w:t>
      </w:r>
    </w:p>
    <w:p>
      <w:pPr>
        <w:pStyle w:val="p1a"/>
      </w:pPr>
      <w:r>
        <w:t>where g_direct is the direct qubit-qubit coupling, g1c and g2c are the qubit-coupler couplings, and Delta_c is the detuning between the coupler and the qubit frequencies. The residual ZZ interaction, which is a major source of two-qubit gate error, is computed as:</w:t>
      </w:r>
    </w:p>
    <w:p>
      <w:pPr>
        <w:pStyle w:val="equation"/>
      </w:pPr>
      <w:r>
        <w:t>ZZ = 2 * g_eff^2 * alpha / (Delta * (Delta + alpha))</w:t>
      </w:r>
    </w:p>
    <w:p>
      <w:pPr>
        <w:pStyle w:val="p1a"/>
      </w:pPr>
      <w:r>
        <w:t>where Delta is the qubit-qubit detuning. M1 computes these parameters for all 19 coupler connections in the 20-qubit chip, with coupling strengths ranging from 7.59 MHz to 15.59 MHz and ZZ interactions from -18.0 kHz to -84.1 kHz. The module also performs frequency collision detection, identifying six HIGH severity collisions where neighboring qubit frequency detunings fall below 50 MHz, most critically Q16-Q17 with only 1.1 MHz detuning. These collisions are flagged for the Chip Designer agent to address in subsequent design iterations.</w:t>
      </w:r>
    </w:p>
    <w:p>
      <w:pPr>
        <w:pStyle w:val="heading2"/>
      </w:pPr>
      <w:r>
        <w:t>M2: Readout and Dispersive Shift Analysis</w:t>
      </w:r>
    </w:p>
    <w:p>
      <w:pPr>
        <w:pStyle w:val="p1a"/>
      </w:pPr>
      <w:r>
        <w:t>Module M2 characterizes the readout chain, computing the dispersive shift chi for each qubit-resonator pair:</w:t>
      </w:r>
    </w:p>
    <w:p>
      <w:pPr>
        <w:pStyle w:val="equation"/>
      </w:pPr>
      <w:r>
        <w:t>chi = g_r^2 * alpha / (Delta_r * (Delta_r + alpha))</w:t>
      </w:r>
    </w:p>
    <w:p>
      <w:pPr>
        <w:pStyle w:val="p1a"/>
      </w:pPr>
      <w:r>
        <w:t>where g_r is the qubit-resonator coupling and Delta_r is the qubit-resonator detuning. The dispersive shift determines the measurement-induced frequency shift that enables state discrimination. For the 20-qubit chip, readout resonator frequencies span 6.80 GHz to 7.18 GHz with linewidths (kappa) ranging from 0.99 MHz to 2.46 MHz and dispersive shifts from -0.22 MHz to 0.44 MHz. M2 validates that the dispersive approximation remains valid (chi &lt;&lt; kappa, Delta_r) and flags cases where the readout fidelity may be compromised by insufficient dispersive shift or excessive Purcell decay.</w:t>
      </w:r>
    </w:p>
    <w:p>
      <w:pPr>
        <w:pStyle w:val="heading2"/>
      </w:pPr>
      <w:r>
        <w:t>M3-M5: Noise Analysis, Diagnosis, and Experiment Planning</w:t>
      </w:r>
    </w:p>
    <w:p>
      <w:pPr>
        <w:pStyle w:val="p1a"/>
      </w:pPr>
      <w:r>
        <w:t>Module M3 constructs a comprehensive noise budget by decomposing the measured T1 and T2 times into contributions from individual noise mechanisms. For T1 relaxation, the total rate is the sum of rates from Purcell decay, dielectric loss, two-level system (TLS) defects, quasiparticle tunneling, and radiation loss:</w:t>
      </w:r>
    </w:p>
    <w:p>
      <w:pPr>
        <w:pStyle w:val="equation"/>
      </w:pPr>
      <w:r>
        <w:t>1/T1_total = 1/T1_Purcell + 1/T1_dielectric + 1/T1_TLS + 1/T1_qp + 1/T1_radiation</w:t>
      </w:r>
    </w:p>
    <w:p>
      <w:pPr>
        <w:pStyle w:val="p1a"/>
      </w:pPr>
      <w:r>
        <w:t>Similarly, T2 decoherence combines the T1-limited contribution with pure dephasing from flux noise, thermal photon fluctuations, and charge noise:</w:t>
      </w:r>
    </w:p>
    <w:p>
      <w:pPr>
        <w:pStyle w:val="equation"/>
      </w:pPr>
      <w:r>
        <w:t>1/T2 = 1/(2*T1) + 1/T_phi_flux + 1/T_phi_thermal + 1/T_phi_charge</w:t>
      </w:r>
    </w:p>
    <w:p>
      <w:pPr>
        <w:pStyle w:val="p1a"/>
      </w:pPr>
      <w:r>
        <w:t>Module M4 implements a Bayesian anomaly diagnosis framework. Given an observed performance anomaly (e.g., degraded T1, elevated gate error), M4 generates a ranked list of root cause hypotheses, each annotated with a confidence score, supporting and contradicting evidence, and a recommended verification experiment. The diagnosis follows a differential diagnosis approach inspired by medical AI systems, where competing hypotheses are systematically evaluated against available evidence. Module M5 generates adaptive experiment plans that maximize information gain under time and resource constraints. The planning algorithm prioritizes experiments that most effectively discriminate between competing hypotheses identified by M4, implementing a form of Bayesian experimental design [50]. Plans include stopping criteria based on posterior confidence thresholds and budget exhaustion, with adaptive policies that update priorities after each completed experiment.</w:t>
      </w:r>
    </w:p>
    <w:p>
      <w:pPr>
        <w:pStyle w:val="heading2"/>
      </w:pPr>
      <w:r>
        <w:t>M6-M8: Simulation, Optimization, and Design</w:t>
      </w:r>
    </w:p>
    <w:p>
      <w:pPr>
        <w:pStyle w:val="p1a"/>
      </w:pPr>
      <w:r>
        <w:t>Module M6 orchestrates electromagnetic simulations by generating appropriate input configurations for Q3D capacitance extraction, LOM parameter computation, EPR analysis, and eigenmode solving. The module manages the simulation workflow, including mesh convergence checking, result validation, and fallback to analytical estimates when numerical simulations fail. Module M7 implements gate pulse optimization using both analytical methods (DRAG for single-qubit gates) and numerical optimal control (GRAPE for two-qubit gates). The optimization accounts for hardware constraints including AWG sampling rate, bandwidth limitations, and FPGA timing precision. Module M8 synthesizes all prior analysis into a comprehensive design proposal, including frequency planning recommendations, coupler optimization targets, layout modifications, and a phased implementation roadmap with risk assessment.</w:t>
      </w:r>
    </w:p>
    <w:p>
      <w:pPr/>
      <w:r>
        <w:t>Module M7 implements a multi-objective design optimization framework that synthesizes the outputs of all preceding modules into actionable design proposals. The optimization operates across three time horizons: immediate parameter adjustments (pulse amplitudes, bias voltages, readout frequencies) that can be applied without hardware changes; mid-term structural modifications (Purcell filter addition, airbridge density increase, SQUID loop area reduction) for the next fabrication batch; and full chip redesign recommendations (new frequency plan, layout topology changes, packaging modifications) for the next design iteration. M7 generates Pareto-optimal solutions trading off coherence time, gate speed, fabrication yield, and frequency crowding, explicitly quantifying the expected performance gain and fabrication risk associated with each proposed change. This structured approach ensures that design decisions are made with full awareness of the multi-dimensional trade-off landscape rather than optimizing a single metric in isolation.</w:t>
      </w:r>
    </w:p>
    <w:p>
      <w:pPr/>
      <w:r>
        <w:t>Module M8 maintains a structured knowledge graph that maps experimental phenomena to physical mechanisms, validation experiments, and mitigation strategies. Unlike generic RAG (Retrieval-Augmented Generation) approaches that simply retrieve relevant text passages, M8 organizes knowledge into typed relationships: a phenomenon (e.g., T1 degradation) MAY_BE_CAUSED_BY a mechanism (e.g., dielectric loss), which is TESTED_BY a specific experiment type (e.g., frequency-dependent T1 measurement), and MITIGATED_BY a design change (e.g., improved substrate cleaning). Each knowledge entry carries an evidence level annotation (direct, indirect, or analogical) and a citation to the source literature. This structured representation enables the diagnosis module (M4) to perform systematic hypothesis elimination rather than ad hoc pattern matching, and allows the design optimization module (M7) to ground its recommendations in established physical understanding.</w:t>
      </w:r>
    </w:p>
    <w:p>
      <w:pPr/>
      <w:r>
        <w:t>The nine-module architecture of the Theoretical Physicist agent represents a deliberate design choice to decompose complex physics reasoning into well-defined, composable units rather than relying on monolithic LLM generation. Each module has explicit input/output contracts: M0 produces DeviceGraph objects consumed by M1; M1 produces HamiltonianModel objects consumed by M2, M3, and M5; M4 produces DiagnosisReport objects consumed by M7. This separation enables independent validation of each module's outputs, targeted improvement of specific capabilities, and transparent provenance tracking. The alternative approach of prompting a general-purpose LLM to 'analyze the noise mechanisms' risks producing plausible but ungrounded explanations that conflate different physical scales and regimes. By structuring the analysis through explicit modules with defined approximation conditions and validity checks, the system provides guardrails that increase the reliability of physics-informed recommendations.</w:t>
      </w:r>
    </w:p>
    <w:p>
      <w:pPr>
        <w:pStyle w:val="heading1"/>
      </w:pPr>
      <w:r>
        <w:t>Chip Design Pipeline</w:t>
      </w:r>
    </w:p>
    <w:p>
      <w:pPr>
        <w:pStyle w:val="p1a"/>
      </w:pPr>
      <w:r>
        <w:t>The AetherQ chip design pipeline demonstrates the system's ability to manage the complete workflow from specification to physical layout. Figure 5 illustrates the pipeline stages.</w:t>
      </w:r>
    </w:p>
    <w:p>
      <w:pPr>
        <w:pStyle w:val="p1a"/>
        <w:jc w:val="center"/>
      </w:pPr>
      <w:r>
        <w:drawing>
          <wp:inline xmlns:a="http://schemas.openxmlformats.org/drawingml/2006/main" xmlns:pic="http://schemas.openxmlformats.org/drawingml/2006/picture">
            <wp:extent cx="4114800" cy="1402107"/>
            <wp:docPr id="5" name="Picture 5"/>
            <wp:cNvGraphicFramePr>
              <a:graphicFrameLocks noChangeAspect="1"/>
            </wp:cNvGraphicFramePr>
            <a:graphic>
              <a:graphicData uri="http://schemas.openxmlformats.org/drawingml/2006/picture">
                <pic:pic>
                  <pic:nvPicPr>
                    <pic:cNvPr id="0" name="fig5_pipeline.png"/>
                    <pic:cNvPicPr/>
                  </pic:nvPicPr>
                  <pic:blipFill>
                    <a:blip r:embed="rId22"/>
                    <a:stretch>
                      <a:fillRect/>
                    </a:stretch>
                  </pic:blipFill>
                  <pic:spPr>
                    <a:xfrm>
                      <a:off x="0" y="0"/>
                      <a:ext cx="4114800" cy="1402107"/>
                    </a:xfrm>
                    <a:prstGeom prst="rect"/>
                  </pic:spPr>
                </pic:pic>
              </a:graphicData>
            </a:graphic>
          </wp:inline>
        </w:drawing>
      </w:r>
    </w:p>
    <w:p>
      <w:pPr>
        <w:pStyle w:val="figurecaption"/>
        <w:jc w:val="center"/>
      </w:pPr>
      <w:r>
        <w:t>Fig. 5. The chip design pipeline in AetherQ, from initial specification through frequency planning, electromagnetic simulation, parameter extraction, and GDS layout generation.</w:t>
      </w:r>
    </w:p>
    <w:p>
      <w:pPr>
        <w:pStyle w:val="heading2"/>
      </w:pPr>
      <w:r>
        <w:t>20-Qubit Chip Specification</w:t>
      </w:r>
    </w:p>
    <w:p>
      <w:pPr>
        <w:pStyle w:val="p1a"/>
      </w:pPr>
      <w:r>
        <w:t>The target chip consists of 20 transmon qubits arranged in a linear chain topology with nearest-neighbor tunable couplers. The design specifications include: qubit frequencies spanning 5.17 GHz to 6.71 GHz with a non-uniform distribution designed to minimize frequency collisions; anharmonicities of -260 MHz providing adequate separation between computational and non-computational transitions; EJ/EC ratios of approximately 54.7 placing all qubits firmly in the transmon regime; readout resonator frequencies spanning 6.80 GHz to 7.18 GHz with 20 MHz spacing to enable frequency-multiplexed readout; and coupler coupling strengths between 7.59 MHz and 15.59 MHz enabling CZ gate times below 200 ns. Table 3 summarizes the key chip specifications.</w:t>
      </w:r>
    </w:p>
    <w:p>
      <w:pPr>
        <w:pStyle w:val="tablecaption"/>
        <w:jc w:val="center"/>
      </w:pPr>
      <w:r>
        <w:t>Table 3. Key specifications of the 20-qubit transmon chip with tunable couplers.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06"/>
        <w:gridCol w:w="2306"/>
        <w:gridCol w:w="2306"/>
      </w:tblGrid>
      <w:tr>
        <w:tc>
          <w:tcPr>
            <w:tcW w:type="dxa" w:w="2306"/>
            <w:tcMar/>
          </w:tcPr>
          <w:p>
            <w:pPr>
              <w:jc w:val="center"/>
            </w:pPr>
            <w:r>
              <w:rPr>
                <w:b/>
                <w:sz w:val="16"/>
              </w:rPr>
              <w:t>Parameter</w:t>
            </w:r>
          </w:p>
        </w:tc>
        <w:tc>
          <w:tcPr>
            <w:tcW w:type="dxa" w:w="2306"/>
            <w:tcMar/>
          </w:tcPr>
          <w:p>
            <w:pPr>
              <w:jc w:val="center"/>
            </w:pPr>
            <w:r>
              <w:rPr>
                <w:b/>
                <w:sz w:val="16"/>
              </w:rPr>
              <w:t>Value</w:t>
            </w:r>
          </w:p>
        </w:tc>
        <w:tc>
          <w:tcPr>
            <w:tcW w:type="dxa" w:w="2306"/>
            <w:tcMar/>
          </w:tcPr>
          <w:p>
            <w:pPr>
              <w:jc w:val="center"/>
            </w:pPr>
            <w:r>
              <w:rPr>
                <w:b/>
                <w:sz w:val="16"/>
              </w:rPr>
              <w:t>Unit</w:t>
            </w:r>
          </w:p>
        </w:tc>
      </w:tr>
      <w:tr>
        <w:tc>
          <w:tcPr>
            <w:tcW w:type="dxa" w:w="2306"/>
            <w:tcMar/>
          </w:tcPr>
          <w:p>
            <w:pPr>
              <w:jc w:val="center"/>
            </w:pPr>
            <w:r>
              <w:rPr>
                <w:sz w:val="16"/>
              </w:rPr>
              <w:t>Number of qubits</w:t>
            </w:r>
          </w:p>
        </w:tc>
        <w:tc>
          <w:tcPr>
            <w:tcW w:type="dxa" w:w="2306"/>
            <w:tcMar/>
          </w:tcPr>
          <w:p>
            <w:pPr>
              <w:jc w:val="center"/>
            </w:pPr>
            <w:r>
              <w:rPr>
                <w:sz w:val="16"/>
              </w:rPr>
              <w:t>20</w:t>
            </w:r>
          </w:p>
        </w:tc>
        <w:tc>
          <w:tcPr>
            <w:tcW w:type="dxa" w:w="2306"/>
            <w:tcMar/>
          </w:tcPr>
          <w:p>
            <w:pPr>
              <w:jc w:val="center"/>
            </w:pPr>
            <w:r>
              <w:rPr>
                <w:sz w:val="16"/>
              </w:rPr>
              <w:t>-</w:t>
            </w:r>
          </w:p>
        </w:tc>
      </w:tr>
      <w:tr>
        <w:tc>
          <w:tcPr>
            <w:tcW w:type="dxa" w:w="2306"/>
            <w:tcMar/>
          </w:tcPr>
          <w:p>
            <w:pPr>
              <w:jc w:val="center"/>
            </w:pPr>
            <w:r>
              <w:rPr>
                <w:sz w:val="16"/>
              </w:rPr>
              <w:t>Number of couplers</w:t>
            </w:r>
          </w:p>
        </w:tc>
        <w:tc>
          <w:tcPr>
            <w:tcW w:type="dxa" w:w="2306"/>
            <w:tcMar/>
          </w:tcPr>
          <w:p>
            <w:pPr>
              <w:jc w:val="center"/>
            </w:pPr>
            <w:r>
              <w:rPr>
                <w:sz w:val="16"/>
              </w:rPr>
              <w:t>19</w:t>
            </w:r>
          </w:p>
        </w:tc>
        <w:tc>
          <w:tcPr>
            <w:tcW w:type="dxa" w:w="2306"/>
            <w:tcMar/>
          </w:tcPr>
          <w:p>
            <w:pPr>
              <w:jc w:val="center"/>
            </w:pPr>
            <w:r>
              <w:rPr>
                <w:sz w:val="16"/>
              </w:rPr>
              <w:t>-</w:t>
            </w:r>
          </w:p>
        </w:tc>
      </w:tr>
      <w:tr>
        <w:tc>
          <w:tcPr>
            <w:tcW w:type="dxa" w:w="2306"/>
            <w:tcMar/>
          </w:tcPr>
          <w:p>
            <w:pPr>
              <w:jc w:val="center"/>
            </w:pPr>
            <w:r>
              <w:rPr>
                <w:sz w:val="16"/>
              </w:rPr>
              <w:t>Topology</w:t>
            </w:r>
          </w:p>
        </w:tc>
        <w:tc>
          <w:tcPr>
            <w:tcW w:type="dxa" w:w="2306"/>
            <w:tcMar/>
          </w:tcPr>
          <w:p>
            <w:pPr>
              <w:jc w:val="center"/>
            </w:pPr>
            <w:r>
              <w:rPr>
                <w:sz w:val="16"/>
              </w:rPr>
              <w:t>Linear chain</w:t>
            </w:r>
          </w:p>
        </w:tc>
        <w:tc>
          <w:tcPr>
            <w:tcW w:type="dxa" w:w="2306"/>
            <w:tcMar/>
          </w:tcPr>
          <w:p>
            <w:pPr>
              <w:jc w:val="center"/>
            </w:pPr>
            <w:r>
              <w:rPr>
                <w:sz w:val="16"/>
              </w:rPr>
              <w:t>-</w:t>
            </w:r>
          </w:p>
        </w:tc>
      </w:tr>
      <w:tr>
        <w:tc>
          <w:tcPr>
            <w:tcW w:type="dxa" w:w="2306"/>
            <w:tcMar/>
          </w:tcPr>
          <w:p>
            <w:pPr>
              <w:jc w:val="center"/>
            </w:pPr>
            <w:r>
              <w:rPr>
                <w:sz w:val="16"/>
              </w:rPr>
              <w:t>Qubit frequency range</w:t>
            </w:r>
          </w:p>
        </w:tc>
        <w:tc>
          <w:tcPr>
            <w:tcW w:type="dxa" w:w="2306"/>
            <w:tcMar/>
          </w:tcPr>
          <w:p>
            <w:pPr>
              <w:jc w:val="center"/>
            </w:pPr>
            <w:r>
              <w:rPr>
                <w:sz w:val="16"/>
              </w:rPr>
              <w:t>5.17 - 6.71</w:t>
            </w:r>
          </w:p>
        </w:tc>
        <w:tc>
          <w:tcPr>
            <w:tcW w:type="dxa" w:w="2306"/>
            <w:tcMar/>
          </w:tcPr>
          <w:p>
            <w:pPr>
              <w:jc w:val="center"/>
            </w:pPr>
            <w:r>
              <w:rPr>
                <w:sz w:val="16"/>
              </w:rPr>
              <w:t>GHz</w:t>
            </w:r>
          </w:p>
        </w:tc>
      </w:tr>
      <w:tr>
        <w:tc>
          <w:tcPr>
            <w:tcW w:type="dxa" w:w="2306"/>
            <w:tcMar/>
          </w:tcPr>
          <w:p>
            <w:pPr>
              <w:jc w:val="center"/>
            </w:pPr>
            <w:r>
              <w:rPr>
                <w:sz w:val="16"/>
              </w:rPr>
              <w:t>Anharmonicity</w:t>
            </w:r>
          </w:p>
        </w:tc>
        <w:tc>
          <w:tcPr>
            <w:tcW w:type="dxa" w:w="2306"/>
            <w:tcMar/>
          </w:tcPr>
          <w:p>
            <w:pPr>
              <w:jc w:val="center"/>
            </w:pPr>
            <w:r>
              <w:rPr>
                <w:sz w:val="16"/>
              </w:rPr>
              <w:t>-260</w:t>
            </w:r>
          </w:p>
        </w:tc>
        <w:tc>
          <w:tcPr>
            <w:tcW w:type="dxa" w:w="2306"/>
            <w:tcMar/>
          </w:tcPr>
          <w:p>
            <w:pPr>
              <w:jc w:val="center"/>
            </w:pPr>
            <w:r>
              <w:rPr>
                <w:sz w:val="16"/>
              </w:rPr>
              <w:t>MHz</w:t>
            </w:r>
          </w:p>
        </w:tc>
      </w:tr>
      <w:tr>
        <w:tc>
          <w:tcPr>
            <w:tcW w:type="dxa" w:w="2306"/>
            <w:tcMar/>
          </w:tcPr>
          <w:p>
            <w:pPr>
              <w:jc w:val="center"/>
            </w:pPr>
            <w:r>
              <w:rPr>
                <w:sz w:val="16"/>
              </w:rPr>
              <w:t>EJ/EC ratio</w:t>
            </w:r>
          </w:p>
        </w:tc>
        <w:tc>
          <w:tcPr>
            <w:tcW w:type="dxa" w:w="2306"/>
            <w:tcMar/>
          </w:tcPr>
          <w:p>
            <w:pPr>
              <w:jc w:val="center"/>
            </w:pPr>
            <w:r>
              <w:rPr>
                <w:sz w:val="16"/>
              </w:rPr>
              <w:t>54.7</w:t>
            </w:r>
          </w:p>
        </w:tc>
        <w:tc>
          <w:tcPr>
            <w:tcW w:type="dxa" w:w="2306"/>
            <w:tcMar/>
          </w:tcPr>
          <w:p>
            <w:pPr>
              <w:jc w:val="center"/>
            </w:pPr>
            <w:r>
              <w:rPr>
                <w:sz w:val="16"/>
              </w:rPr>
              <w:t>-</w:t>
            </w:r>
          </w:p>
        </w:tc>
      </w:tr>
      <w:tr>
        <w:tc>
          <w:tcPr>
            <w:tcW w:type="dxa" w:w="2306"/>
            <w:tcMar/>
          </w:tcPr>
          <w:p>
            <w:pPr>
              <w:jc w:val="center"/>
            </w:pPr>
            <w:r>
              <w:rPr>
                <w:sz w:val="16"/>
              </w:rPr>
              <w:t>Readout freq. range</w:t>
            </w:r>
          </w:p>
        </w:tc>
        <w:tc>
          <w:tcPr>
            <w:tcW w:type="dxa" w:w="2306"/>
            <w:tcMar/>
          </w:tcPr>
          <w:p>
            <w:pPr>
              <w:jc w:val="center"/>
            </w:pPr>
            <w:r>
              <w:rPr>
                <w:sz w:val="16"/>
              </w:rPr>
              <w:t>6.80 - 7.18</w:t>
            </w:r>
          </w:p>
        </w:tc>
        <w:tc>
          <w:tcPr>
            <w:tcW w:type="dxa" w:w="2306"/>
            <w:tcMar/>
          </w:tcPr>
          <w:p>
            <w:pPr>
              <w:jc w:val="center"/>
            </w:pPr>
            <w:r>
              <w:rPr>
                <w:sz w:val="16"/>
              </w:rPr>
              <w:t>GHz</w:t>
            </w:r>
          </w:p>
        </w:tc>
      </w:tr>
      <w:tr>
        <w:tc>
          <w:tcPr>
            <w:tcW w:type="dxa" w:w="2306"/>
            <w:tcMar/>
          </w:tcPr>
          <w:p>
            <w:pPr>
              <w:jc w:val="center"/>
            </w:pPr>
            <w:r>
              <w:rPr>
                <w:sz w:val="16"/>
              </w:rPr>
              <w:t>Readout kappa range</w:t>
            </w:r>
          </w:p>
        </w:tc>
        <w:tc>
          <w:tcPr>
            <w:tcW w:type="dxa" w:w="2306"/>
            <w:tcMar/>
          </w:tcPr>
          <w:p>
            <w:pPr>
              <w:jc w:val="center"/>
            </w:pPr>
            <w:r>
              <w:rPr>
                <w:sz w:val="16"/>
              </w:rPr>
              <w:t>0.99 - 2.46</w:t>
            </w:r>
          </w:p>
        </w:tc>
        <w:tc>
          <w:tcPr>
            <w:tcW w:type="dxa" w:w="2306"/>
            <w:tcMar/>
          </w:tcPr>
          <w:p>
            <w:pPr>
              <w:jc w:val="center"/>
            </w:pPr>
            <w:r>
              <w:rPr>
                <w:sz w:val="16"/>
              </w:rPr>
              <w:t>MHz</w:t>
            </w:r>
          </w:p>
        </w:tc>
      </w:tr>
      <w:tr>
        <w:tc>
          <w:tcPr>
            <w:tcW w:type="dxa" w:w="2306"/>
            <w:tcMar/>
          </w:tcPr>
          <w:p>
            <w:pPr>
              <w:jc w:val="center"/>
            </w:pPr>
            <w:r>
              <w:rPr>
                <w:sz w:val="16"/>
              </w:rPr>
              <w:t>Coupling strength range</w:t>
            </w:r>
          </w:p>
        </w:tc>
        <w:tc>
          <w:tcPr>
            <w:tcW w:type="dxa" w:w="2306"/>
            <w:tcMar/>
          </w:tcPr>
          <w:p>
            <w:pPr>
              <w:jc w:val="center"/>
            </w:pPr>
            <w:r>
              <w:rPr>
                <w:sz w:val="16"/>
              </w:rPr>
              <w:t>7.59 - 15.59</w:t>
            </w:r>
          </w:p>
        </w:tc>
        <w:tc>
          <w:tcPr>
            <w:tcW w:type="dxa" w:w="2306"/>
            <w:tcMar/>
          </w:tcPr>
          <w:p>
            <w:pPr>
              <w:jc w:val="center"/>
            </w:pPr>
            <w:r>
              <w:rPr>
                <w:sz w:val="16"/>
              </w:rPr>
              <w:t>MHz</w:t>
            </w:r>
          </w:p>
        </w:tc>
      </w:tr>
      <w:tr>
        <w:tc>
          <w:tcPr>
            <w:tcW w:type="dxa" w:w="2306"/>
            <w:tcMar/>
          </w:tcPr>
          <w:p>
            <w:pPr>
              <w:jc w:val="center"/>
            </w:pPr>
            <w:r>
              <w:rPr>
                <w:sz w:val="16"/>
              </w:rPr>
              <w:t>Residual ZZ range</w:t>
            </w:r>
          </w:p>
        </w:tc>
        <w:tc>
          <w:tcPr>
            <w:tcW w:type="dxa" w:w="2306"/>
            <w:tcMar/>
          </w:tcPr>
          <w:p>
            <w:pPr>
              <w:jc w:val="center"/>
            </w:pPr>
            <w:r>
              <w:rPr>
                <w:sz w:val="16"/>
              </w:rPr>
              <w:t>-18.0 to -84.1</w:t>
            </w:r>
          </w:p>
        </w:tc>
        <w:tc>
          <w:tcPr>
            <w:tcW w:type="dxa" w:w="2306"/>
            <w:tcMar/>
          </w:tcPr>
          <w:p>
            <w:pPr>
              <w:jc w:val="center"/>
            </w:pPr>
            <w:r>
              <w:rPr>
                <w:sz w:val="16"/>
              </w:rPr>
              <w:t>kHz</w:t>
            </w:r>
          </w:p>
        </w:tc>
      </w:tr>
    </w:tbl>
    <w:p>
      <w:pPr>
        <w:pStyle w:val="heading2"/>
      </w:pPr>
      <w:r>
        <w:t>Workflow and GDS Generation</w:t>
      </w:r>
    </w:p>
    <w:p>
      <w:pPr>
        <w:pStyle w:val="p1a"/>
      </w:pPr>
      <w:r>
        <w:t>The design pipeline proceeds through the following stages, each managed by the appropriate AetherQ agent. First, the Coordinator receives the high-level chip specification (qubit count, topology, target fidelities) and decomposes it into sub-tasks. The Theoretical Physicist agent constructs the Hamiltonian model (M0-M2), identifying frequency collisions and coupling constraints. The Chip Designer agent then invokes M8 to generate a design proposal with optimized frequency planning and layout modifications. The Simulation Engineer orchestrates electromagnetic simulations (M6) for a representative subset of qubits to validate the design against specifications. The Pulse Engineer optimizes gate pulses (M7) based on the extracted Hamiltonian parameters. Finally, the GDS Engineer generates the physical layout in GDS-II format, incorporating the design rules for the target fabrication process. Throughout this pipeline, the Safety Monitor validates that all intermediate results satisfy physical constraints, such as minimum feature sizes, maximum current densities, and frequency collision margins.</w:t>
      </w:r>
    </w:p>
    <w:p>
      <w:pPr>
        <w:pStyle w:val="p1a"/>
      </w:pPr>
      <w:r>
        <w:t>The GDS generation module implements a parametric layout approach where each circuit element (transmon, coupler, resonator, control line) is defined by a template with adjustable geometric parameters. The Josephson junction is represented by a Manhattan geometry with specified overlap area determining the junction capacitance, while the qubit capacitor pad dimensions are computed from the target EC value using analytical formulas validated against Q3D simulations. The coupler geometry is parameterized by the coupling capacitance, which is related to the target coupling strength through the LOM model. Airbridges are placed at regular intervals along transmission lines to suppress slot-line modes, with spacing determined by the maximum frequency of interest. The complete layout is exported as a GDS-II file compatible with standard electron-beam lithography and optical lithography fabrication processes.</w:t>
      </w:r>
    </w:p>
    <w:p>
      <w:pPr>
        <w:pStyle w:val="heading1"/>
      </w:pPr>
      <w:r>
        <w:t>Experiments and Results</w:t>
      </w:r>
    </w:p>
    <w:p>
      <w:pPr>
        <w:pStyle w:val="p1a"/>
      </w:pPr>
      <w:r>
        <w:t>We evaluate AetherQ through five experiments designed to assess multi-agent collaboration effectiveness. All experiments use the actual system implementation with 12 agents, 140 registered tools, and the keyword-based routing algorithm, running on a single workstation (Intel i7, 32 GB RAM, Python 3.11). The experiments systematically evaluate task completion advantage, routing accuracy, tool-call chain orchestration, cross-agent information flow, and autonomous discovery.</w:t>
      </w:r>
    </w:p>
    <w:p>
      <w:pPr/>
      <w:r>
        <w:t>The experimental methodology follows the evaluation framework established by El Agente Q [65], which benchmarks agent systems on tasks of varying complexity. However, our evaluation differs in two important respects. First, we focus on inter-agent collaboration metrics rather than individual task completion, measuring information flow across agent boundaries. Second, we evaluate on quantum hardware R&amp;D tasks rather than computational chemistry exercises, requiring integration with physical platforms (EDA tools, manufacturing databases, measurement systems) rather than purely computational workflows. This distinction is critical because hardware-oriented tasks involve irreversible physical operations (fabrication, cooldown) where incorrect agent recommendations have material consequences, necessitating higher standards for tool selection accuracy and reasoning chain validation.</w:t>
      </w:r>
    </w:p>
    <w:p>
      <w:pPr>
        <w:pStyle w:val="heading2"/>
      </w:pPr>
      <w:r>
        <w:t>Experiment 1: Multi-Agent vs. Single-Agent Task Completion</w:t>
      </w:r>
    </w:p>
    <w:p>
      <w:pPr>
        <w:pStyle w:val="p1a"/>
      </w:pPr>
      <w:r>
        <w:t>Task. We compare task completion performance between a single general-purpose agent and AetherQ's 12 specialized agents on 10 tasks spanning four complexity levels (simple, medium, complex, very complex) and requiring 1-4 domain specializations. Tasks range from simple queries ('Query qubit Q1 frequency') to complex multi-domain workflows ('Design chip, simulate, diagnose, and optimize').</w:t>
      </w:r>
    </w:p>
    <w:p>
      <w:pPr/>
      <w:r>
        <w:t>Method. The single-agent baseline uses a general-purpose system prompt with access to all 140 tools but no domain specialization. The multi-agent configuration routes each task through the orchestrator to the appropriate specialized agent(s). We measure task success rate, tool selection accuracy, and average reasoning rounds needed.</w:t>
      </w:r>
    </w:p>
    <w:p>
      <w:pPr/>
      <w:r>
        <w:t>Results. The multi-agent system achieves 100% task success rate compared to 90% for the single agent. Tool selection accuracy improves from 91.3% to 98.6%, and average reasoning rounds decrease from 6.7 to 3.9 (a 42% reduction). The single agent fails on two very complex tasks requiring 4-domain coordination, where it selects incorrect tools due to the large action space (140 tools without domain filtering).</w:t>
      </w:r>
    </w:p>
    <w:p>
      <w:pPr>
        <w:jc w:val="center"/>
      </w:pPr>
      <w:r>
        <w:drawing>
          <wp:inline xmlns:a="http://schemas.openxmlformats.org/drawingml/2006/main" xmlns:pic="http://schemas.openxmlformats.org/drawingml/2006/picture">
            <wp:extent cx="5029200" cy="1825171"/>
            <wp:docPr id="6" name="Picture 6"/>
            <wp:cNvGraphicFramePr>
              <a:graphicFrameLocks noChangeAspect="1"/>
            </wp:cNvGraphicFramePr>
            <a:graphic>
              <a:graphicData uri="http://schemas.openxmlformats.org/drawingml/2006/picture">
                <pic:pic>
                  <pic:nvPicPr>
                    <pic:cNvPr id="0" name="fig5_single_vs_multi.png"/>
                    <pic:cNvPicPr/>
                  </pic:nvPicPr>
                  <pic:blipFill>
                    <a:blip r:embed="rId26"/>
                    <a:stretch>
                      <a:fillRect/>
                    </a:stretch>
                  </pic:blipFill>
                  <pic:spPr>
                    <a:xfrm>
                      <a:off x="0" y="0"/>
                      <a:ext cx="5029200" cy="1825171"/>
                    </a:xfrm>
                    <a:prstGeom prst="rect"/>
                  </pic:spPr>
                </pic:pic>
              </a:graphicData>
            </a:graphic>
          </wp:inline>
        </w:drawing>
      </w:r>
    </w:p>
    <w:p>
      <w:pPr>
        <w:pStyle w:val="figurecaption"/>
      </w:pPr>
      <w:r>
        <w:t>Fig. 5. Single-agent vs. multi-agent comparison across success rate, tool accuracy, and average reasoning rounds. The multi-agent system achieves higher accuracy with fewer rounds.</w:t>
      </w:r>
    </w:p>
    <w:p>
      <w:pPr>
        <w:jc w:val="center"/>
      </w:pPr>
      <w:r>
        <w:t>Analysis. The multi-agent advantage is most pronounced for complex tasks requiring multiple domain specializations. By restricting each agent's tool access through prefix-based permissions, the effective action space shrinks from 140 to 4-15 tools per agent, substantially reducing selection errors. The round reduction arises because specialized agents can directly invoke the correct tools without exploratory calls.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153"/>
        <w:gridCol w:w="1153"/>
        <w:gridCol w:w="1153"/>
        <w:gridCol w:w="1153"/>
        <w:gridCol w:w="1153"/>
        <w:gridCol w:w="1153"/>
      </w:tblGrid>
      <w:tr>
        <w:tc>
          <w:tcPr>
            <w:tcW w:type="dxa" w:w="1153"/>
            <w:tcMar/>
          </w:tcPr>
          <w:p>
            <w:pPr>
              <w:jc w:val="center"/>
            </w:pPr>
            <w:r>
              <w:rPr>
                <w:b/>
                <w:sz w:val="16"/>
              </w:rPr>
              <w:t>Qubit</w:t>
            </w:r>
          </w:p>
        </w:tc>
        <w:tc>
          <w:tcPr>
            <w:tcW w:type="dxa" w:w="1153"/>
            <w:tcMar/>
          </w:tcPr>
          <w:p>
            <w:pPr>
              <w:jc w:val="center"/>
            </w:pPr>
            <w:r>
              <w:rPr>
                <w:b/>
                <w:sz w:val="16"/>
              </w:rPr>
              <w:t>f_01 (GHz)</w:t>
            </w:r>
          </w:p>
        </w:tc>
        <w:tc>
          <w:tcPr>
            <w:tcW w:type="dxa" w:w="1153"/>
            <w:tcMar/>
          </w:tcPr>
          <w:p>
            <w:pPr>
              <w:jc w:val="center"/>
            </w:pPr>
            <w:r>
              <w:rPr>
                <w:b/>
                <w:sz w:val="16"/>
              </w:rPr>
              <w:t>alpha (MHz)</w:t>
            </w:r>
          </w:p>
        </w:tc>
        <w:tc>
          <w:tcPr>
            <w:tcW w:type="dxa" w:w="1153"/>
            <w:tcMar/>
          </w:tcPr>
          <w:p>
            <w:pPr>
              <w:jc w:val="center"/>
            </w:pPr>
            <w:r>
              <w:rPr>
                <w:b/>
                <w:sz w:val="16"/>
              </w:rPr>
              <w:t>EJ (GHz)</w:t>
            </w:r>
          </w:p>
        </w:tc>
        <w:tc>
          <w:tcPr>
            <w:tcW w:type="dxa" w:w="1153"/>
            <w:tcMar/>
          </w:tcPr>
          <w:p>
            <w:pPr>
              <w:jc w:val="center"/>
            </w:pPr>
            <w:r>
              <w:rPr>
                <w:b/>
                <w:sz w:val="16"/>
              </w:rPr>
              <w:t>EC (GHz)</w:t>
            </w:r>
          </w:p>
        </w:tc>
        <w:tc>
          <w:tcPr>
            <w:tcW w:type="dxa" w:w="1153"/>
            <w:tcMar/>
          </w:tcPr>
          <w:p>
            <w:pPr>
              <w:jc w:val="center"/>
            </w:pPr>
            <w:r>
              <w:rPr>
                <w:b/>
                <w:sz w:val="16"/>
              </w:rPr>
              <w:t>EJ/EC</w:t>
            </w:r>
          </w:p>
        </w:tc>
      </w:tr>
      <w:tr>
        <w:tc>
          <w:tcPr>
            <w:tcW w:type="dxa" w:w="1153"/>
            <w:tcMar/>
          </w:tcPr>
          <w:p>
            <w:pPr>
              <w:jc w:val="center"/>
            </w:pPr>
            <w:r>
              <w:rPr>
                <w:sz w:val="16"/>
              </w:rPr>
              <w:t>Q1</w:t>
            </w:r>
          </w:p>
        </w:tc>
        <w:tc>
          <w:tcPr>
            <w:tcW w:type="dxa" w:w="1153"/>
            <w:tcMar/>
          </w:tcPr>
          <w:p>
            <w:pPr>
              <w:jc w:val="center"/>
            </w:pPr>
            <w:r>
              <w:rPr>
                <w:sz w:val="16"/>
              </w:rPr>
              <w:t>5.1739</w:t>
            </w:r>
          </w:p>
        </w:tc>
        <w:tc>
          <w:tcPr>
            <w:tcW w:type="dxa" w:w="1153"/>
            <w:tcMar/>
          </w:tcPr>
          <w:p>
            <w:pPr>
              <w:jc w:val="center"/>
            </w:pPr>
            <w:r>
              <w:rPr>
                <w:sz w:val="16"/>
              </w:rPr>
              <w:t>-260.0</w:t>
            </w:r>
          </w:p>
        </w:tc>
        <w:tc>
          <w:tcPr>
            <w:tcW w:type="dxa" w:w="1153"/>
            <w:tcMar/>
          </w:tcPr>
          <w:p>
            <w:pPr>
              <w:jc w:val="center"/>
            </w:pPr>
            <w:r>
              <w:rPr>
                <w:sz w:val="16"/>
              </w:rPr>
              <w:t>13.778</w:t>
            </w:r>
          </w:p>
        </w:tc>
        <w:tc>
          <w:tcPr>
            <w:tcW w:type="dxa" w:w="1153"/>
            <w:tcMar/>
          </w:tcPr>
          <w:p>
            <w:pPr>
              <w:jc w:val="center"/>
            </w:pPr>
            <w:r>
              <w:rPr>
                <w:sz w:val="16"/>
              </w:rPr>
              <w:t>0.26</w:t>
            </w:r>
          </w:p>
        </w:tc>
        <w:tc>
          <w:tcPr>
            <w:tcW w:type="dxa" w:w="1153"/>
            <w:tcMar/>
          </w:tcPr>
          <w:p>
            <w:pPr>
              <w:jc w:val="center"/>
            </w:pPr>
            <w:r>
              <w:rPr>
                <w:sz w:val="16"/>
              </w:rPr>
              <w:t>54.7</w:t>
            </w:r>
          </w:p>
        </w:tc>
      </w:tr>
      <w:tr>
        <w:tc>
          <w:tcPr>
            <w:tcW w:type="dxa" w:w="1153"/>
            <w:tcMar/>
          </w:tcPr>
          <w:p>
            <w:pPr>
              <w:jc w:val="center"/>
            </w:pPr>
            <w:r>
              <w:rPr>
                <w:sz w:val="16"/>
              </w:rPr>
              <w:t>Q2</w:t>
            </w:r>
          </w:p>
        </w:tc>
        <w:tc>
          <w:tcPr>
            <w:tcW w:type="dxa" w:w="1153"/>
            <w:tcMar/>
          </w:tcPr>
          <w:p>
            <w:pPr>
              <w:jc w:val="center"/>
            </w:pPr>
            <w:r>
              <w:rPr>
                <w:sz w:val="16"/>
              </w:rPr>
              <w:t>5.2154</w:t>
            </w:r>
          </w:p>
        </w:tc>
        <w:tc>
          <w:tcPr>
            <w:tcW w:type="dxa" w:w="1153"/>
            <w:tcMar/>
          </w:tcPr>
          <w:p>
            <w:pPr>
              <w:jc w:val="center"/>
            </w:pPr>
            <w:r>
              <w:rPr>
                <w:sz w:val="16"/>
              </w:rPr>
              <w:t>-260.0</w:t>
            </w:r>
          </w:p>
        </w:tc>
        <w:tc>
          <w:tcPr>
            <w:tcW w:type="dxa" w:w="1153"/>
            <w:tcMar/>
          </w:tcPr>
          <w:p>
            <w:pPr>
              <w:jc w:val="center"/>
            </w:pPr>
            <w:r>
              <w:rPr>
                <w:sz w:val="16"/>
              </w:rPr>
              <w:t>14.166</w:t>
            </w:r>
          </w:p>
        </w:tc>
        <w:tc>
          <w:tcPr>
            <w:tcW w:type="dxa" w:w="1153"/>
            <w:tcMar/>
          </w:tcPr>
          <w:p>
            <w:pPr>
              <w:jc w:val="center"/>
            </w:pPr>
            <w:r>
              <w:rPr>
                <w:sz w:val="16"/>
              </w:rPr>
              <w:t>0.26</w:t>
            </w:r>
          </w:p>
        </w:tc>
        <w:tc>
          <w:tcPr>
            <w:tcW w:type="dxa" w:w="1153"/>
            <w:tcMar/>
          </w:tcPr>
          <w:p>
            <w:pPr>
              <w:jc w:val="center"/>
            </w:pPr>
            <w:r>
              <w:rPr>
                <w:sz w:val="16"/>
              </w:rPr>
              <w:t>54.7</w:t>
            </w:r>
          </w:p>
        </w:tc>
      </w:tr>
      <w:tr>
        <w:tc>
          <w:tcPr>
            <w:tcW w:type="dxa" w:w="1153"/>
            <w:tcMar/>
          </w:tcPr>
          <w:p>
            <w:pPr>
              <w:jc w:val="center"/>
            </w:pPr>
            <w:r>
              <w:rPr>
                <w:sz w:val="16"/>
              </w:rPr>
              <w:t>Q3</w:t>
            </w:r>
          </w:p>
        </w:tc>
        <w:tc>
          <w:tcPr>
            <w:tcW w:type="dxa" w:w="1153"/>
            <w:tcMar/>
          </w:tcPr>
          <w:p>
            <w:pPr>
              <w:jc w:val="center"/>
            </w:pPr>
            <w:r>
              <w:rPr>
                <w:sz w:val="16"/>
              </w:rPr>
              <w:t>5.2361</w:t>
            </w:r>
          </w:p>
        </w:tc>
        <w:tc>
          <w:tcPr>
            <w:tcW w:type="dxa" w:w="1153"/>
            <w:tcMar/>
          </w:tcPr>
          <w:p>
            <w:pPr>
              <w:jc w:val="center"/>
            </w:pPr>
            <w:r>
              <w:rPr>
                <w:sz w:val="16"/>
              </w:rPr>
              <w:t>-260.0</w:t>
            </w:r>
          </w:p>
        </w:tc>
        <w:tc>
          <w:tcPr>
            <w:tcW w:type="dxa" w:w="1153"/>
            <w:tcMar/>
          </w:tcPr>
          <w:p>
            <w:pPr>
              <w:jc w:val="center"/>
            </w:pPr>
            <w:r>
              <w:rPr>
                <w:sz w:val="16"/>
              </w:rPr>
              <w:t>14.349</w:t>
            </w:r>
          </w:p>
        </w:tc>
        <w:tc>
          <w:tcPr>
            <w:tcW w:type="dxa" w:w="1153"/>
            <w:tcMar/>
          </w:tcPr>
          <w:p>
            <w:pPr>
              <w:jc w:val="center"/>
            </w:pPr>
            <w:r>
              <w:rPr>
                <w:sz w:val="16"/>
              </w:rPr>
              <w:t>0.26</w:t>
            </w:r>
          </w:p>
        </w:tc>
        <w:tc>
          <w:tcPr>
            <w:tcW w:type="dxa" w:w="1153"/>
            <w:tcMar/>
          </w:tcPr>
          <w:p>
            <w:pPr>
              <w:jc w:val="center"/>
            </w:pPr>
            <w:r>
              <w:rPr>
                <w:sz w:val="16"/>
              </w:rPr>
              <w:t>54.7</w:t>
            </w:r>
          </w:p>
        </w:tc>
      </w:tr>
      <w:tr>
        <w:tc>
          <w:tcPr>
            <w:tcW w:type="dxa" w:w="1153"/>
            <w:tcMar/>
          </w:tcPr>
          <w:p>
            <w:pPr>
              <w:jc w:val="center"/>
            </w:pPr>
            <w:r>
              <w:rPr>
                <w:sz w:val="16"/>
              </w:rPr>
              <w:t>Q4</w:t>
            </w:r>
          </w:p>
        </w:tc>
        <w:tc>
          <w:tcPr>
            <w:tcW w:type="dxa" w:w="1153"/>
            <w:tcMar/>
          </w:tcPr>
          <w:p>
            <w:pPr>
              <w:jc w:val="center"/>
            </w:pPr>
            <w:r>
              <w:rPr>
                <w:sz w:val="16"/>
              </w:rPr>
              <w:t>5.3487</w:t>
            </w:r>
          </w:p>
        </w:tc>
        <w:tc>
          <w:tcPr>
            <w:tcW w:type="dxa" w:w="1153"/>
            <w:tcMar/>
          </w:tcPr>
          <w:p>
            <w:pPr>
              <w:jc w:val="center"/>
            </w:pPr>
            <w:r>
              <w:rPr>
                <w:sz w:val="16"/>
              </w:rPr>
              <w:t>-260.0</w:t>
            </w:r>
          </w:p>
        </w:tc>
        <w:tc>
          <w:tcPr>
            <w:tcW w:type="dxa" w:w="1153"/>
            <w:tcMar/>
          </w:tcPr>
          <w:p>
            <w:pPr>
              <w:jc w:val="center"/>
            </w:pPr>
            <w:r>
              <w:rPr>
                <w:sz w:val="16"/>
              </w:rPr>
              <w:t>13.918</w:t>
            </w:r>
          </w:p>
        </w:tc>
        <w:tc>
          <w:tcPr>
            <w:tcW w:type="dxa" w:w="1153"/>
            <w:tcMar/>
          </w:tcPr>
          <w:p>
            <w:pPr>
              <w:jc w:val="center"/>
            </w:pPr>
            <w:r>
              <w:rPr>
                <w:sz w:val="16"/>
              </w:rPr>
              <w:t>0.26</w:t>
            </w:r>
          </w:p>
        </w:tc>
        <w:tc>
          <w:tcPr>
            <w:tcW w:type="dxa" w:w="1153"/>
            <w:tcMar/>
          </w:tcPr>
          <w:p>
            <w:pPr>
              <w:jc w:val="center"/>
            </w:pPr>
            <w:r>
              <w:rPr>
                <w:sz w:val="16"/>
              </w:rPr>
              <w:t>54.7</w:t>
            </w:r>
          </w:p>
        </w:tc>
      </w:tr>
      <w:tr>
        <w:tc>
          <w:tcPr>
            <w:tcW w:type="dxa" w:w="1153"/>
            <w:tcMar/>
          </w:tcPr>
          <w:p>
            <w:pPr>
              <w:jc w:val="center"/>
            </w:pPr>
            <w:r>
              <w:rPr>
                <w:sz w:val="16"/>
              </w:rPr>
              <w:t>Q5</w:t>
            </w:r>
          </w:p>
        </w:tc>
        <w:tc>
          <w:tcPr>
            <w:tcW w:type="dxa" w:w="1153"/>
            <w:tcMar/>
          </w:tcPr>
          <w:p>
            <w:pPr>
              <w:jc w:val="center"/>
            </w:pPr>
            <w:r>
              <w:rPr>
                <w:sz w:val="16"/>
              </w:rPr>
              <w:t>5.5925</w:t>
            </w:r>
          </w:p>
        </w:tc>
        <w:tc>
          <w:tcPr>
            <w:tcW w:type="dxa" w:w="1153"/>
            <w:tcMar/>
          </w:tcPr>
          <w:p>
            <w:pPr>
              <w:jc w:val="center"/>
            </w:pPr>
            <w:r>
              <w:rPr>
                <w:sz w:val="16"/>
              </w:rPr>
              <w:t>-260.0</w:t>
            </w:r>
          </w:p>
        </w:tc>
        <w:tc>
          <w:tcPr>
            <w:tcW w:type="dxa" w:w="1153"/>
            <w:tcMar/>
          </w:tcPr>
          <w:p>
            <w:pPr>
              <w:jc w:val="center"/>
            </w:pPr>
            <w:r>
              <w:rPr>
                <w:sz w:val="16"/>
              </w:rPr>
              <w:t>14.284</w:t>
            </w:r>
          </w:p>
        </w:tc>
        <w:tc>
          <w:tcPr>
            <w:tcW w:type="dxa" w:w="1153"/>
            <w:tcMar/>
          </w:tcPr>
          <w:p>
            <w:pPr>
              <w:jc w:val="center"/>
            </w:pPr>
            <w:r>
              <w:rPr>
                <w:sz w:val="16"/>
              </w:rPr>
              <w:t>0.26</w:t>
            </w:r>
          </w:p>
        </w:tc>
        <w:tc>
          <w:tcPr>
            <w:tcW w:type="dxa" w:w="1153"/>
            <w:tcMar/>
          </w:tcPr>
          <w:p>
            <w:pPr>
              <w:jc w:val="center"/>
            </w:pPr>
            <w:r>
              <w:rPr>
                <w:sz w:val="16"/>
              </w:rPr>
              <w:t>54.7</w:t>
            </w:r>
          </w:p>
        </w:tc>
      </w:tr>
      <w:tr>
        <w:tc>
          <w:tcPr>
            <w:tcW w:type="dxa" w:w="1153"/>
            <w:tcMar/>
          </w:tcPr>
          <w:p>
            <w:pPr>
              <w:jc w:val="center"/>
            </w:pPr>
            <w:r>
              <w:rPr>
                <w:sz w:val="16"/>
              </w:rPr>
              <w:t>Q6</w:t>
            </w:r>
          </w:p>
        </w:tc>
        <w:tc>
          <w:tcPr>
            <w:tcW w:type="dxa" w:w="1153"/>
            <w:tcMar/>
          </w:tcPr>
          <w:p>
            <w:pPr>
              <w:jc w:val="center"/>
            </w:pPr>
            <w:r>
              <w:rPr>
                <w:sz w:val="16"/>
              </w:rPr>
              <w:t>5.5336</w:t>
            </w:r>
          </w:p>
        </w:tc>
        <w:tc>
          <w:tcPr>
            <w:tcW w:type="dxa" w:w="1153"/>
            <w:tcMar/>
          </w:tcPr>
          <w:p>
            <w:pPr>
              <w:jc w:val="center"/>
            </w:pPr>
            <w:r>
              <w:rPr>
                <w:sz w:val="16"/>
              </w:rPr>
              <w:t>-260.0</w:t>
            </w:r>
          </w:p>
        </w:tc>
        <w:tc>
          <w:tcPr>
            <w:tcW w:type="dxa" w:w="1153"/>
            <w:tcMar/>
          </w:tcPr>
          <w:p>
            <w:pPr>
              <w:jc w:val="center"/>
            </w:pPr>
            <w:r>
              <w:rPr>
                <w:sz w:val="16"/>
              </w:rPr>
              <w:t>14.788</w:t>
            </w:r>
          </w:p>
        </w:tc>
        <w:tc>
          <w:tcPr>
            <w:tcW w:type="dxa" w:w="1153"/>
            <w:tcMar/>
          </w:tcPr>
          <w:p>
            <w:pPr>
              <w:jc w:val="center"/>
            </w:pPr>
            <w:r>
              <w:rPr>
                <w:sz w:val="16"/>
              </w:rPr>
              <w:t>0.26</w:t>
            </w:r>
          </w:p>
        </w:tc>
        <w:tc>
          <w:tcPr>
            <w:tcW w:type="dxa" w:w="1153"/>
            <w:tcMar/>
          </w:tcPr>
          <w:p>
            <w:pPr>
              <w:jc w:val="center"/>
            </w:pPr>
            <w:r>
              <w:rPr>
                <w:sz w:val="16"/>
              </w:rPr>
              <w:t>54.7</w:t>
            </w:r>
          </w:p>
        </w:tc>
      </w:tr>
      <w:tr>
        <w:tc>
          <w:tcPr>
            <w:tcW w:type="dxa" w:w="1153"/>
            <w:tcMar/>
          </w:tcPr>
          <w:p>
            <w:pPr>
              <w:jc w:val="center"/>
            </w:pPr>
            <w:r>
              <w:rPr>
                <w:sz w:val="16"/>
              </w:rPr>
              <w:t>Q7</w:t>
            </w:r>
          </w:p>
        </w:tc>
        <w:tc>
          <w:tcPr>
            <w:tcW w:type="dxa" w:w="1153"/>
            <w:tcMar/>
          </w:tcPr>
          <w:p>
            <w:pPr>
              <w:jc w:val="center"/>
            </w:pPr>
            <w:r>
              <w:rPr>
                <w:sz w:val="16"/>
              </w:rPr>
              <w:t>5.6542</w:t>
            </w:r>
          </w:p>
        </w:tc>
        <w:tc>
          <w:tcPr>
            <w:tcW w:type="dxa" w:w="1153"/>
            <w:tcMar/>
          </w:tcPr>
          <w:p>
            <w:pPr>
              <w:jc w:val="center"/>
            </w:pPr>
            <w:r>
              <w:rPr>
                <w:sz w:val="16"/>
              </w:rPr>
              <w:t>-260.0</w:t>
            </w:r>
          </w:p>
        </w:tc>
        <w:tc>
          <w:tcPr>
            <w:tcW w:type="dxa" w:w="1153"/>
            <w:tcMar/>
          </w:tcPr>
          <w:p>
            <w:pPr>
              <w:jc w:val="center"/>
            </w:pPr>
            <w:r>
              <w:rPr>
                <w:sz w:val="16"/>
              </w:rPr>
              <w:t>14.081</w:t>
            </w:r>
          </w:p>
        </w:tc>
        <w:tc>
          <w:tcPr>
            <w:tcW w:type="dxa" w:w="1153"/>
            <w:tcMar/>
          </w:tcPr>
          <w:p>
            <w:pPr>
              <w:jc w:val="center"/>
            </w:pPr>
            <w:r>
              <w:rPr>
                <w:sz w:val="16"/>
              </w:rPr>
              <w:t>0.26</w:t>
            </w:r>
          </w:p>
        </w:tc>
        <w:tc>
          <w:tcPr>
            <w:tcW w:type="dxa" w:w="1153"/>
            <w:tcMar/>
          </w:tcPr>
          <w:p>
            <w:pPr>
              <w:jc w:val="center"/>
            </w:pPr>
            <w:r>
              <w:rPr>
                <w:sz w:val="16"/>
              </w:rPr>
              <w:t>54.7</w:t>
            </w:r>
          </w:p>
        </w:tc>
      </w:tr>
      <w:tr>
        <w:tc>
          <w:tcPr>
            <w:tcW w:type="dxa" w:w="1153"/>
            <w:tcMar/>
          </w:tcPr>
          <w:p>
            <w:pPr>
              <w:jc w:val="center"/>
            </w:pPr>
            <w:r>
              <w:rPr>
                <w:sz w:val="16"/>
              </w:rPr>
              <w:t>Q8</w:t>
            </w:r>
          </w:p>
        </w:tc>
        <w:tc>
          <w:tcPr>
            <w:tcW w:type="dxa" w:w="1153"/>
            <w:tcMar/>
          </w:tcPr>
          <w:p>
            <w:pPr>
              <w:jc w:val="center"/>
            </w:pPr>
            <w:r>
              <w:rPr>
                <w:sz w:val="16"/>
              </w:rPr>
              <w:t>5.7827</w:t>
            </w:r>
          </w:p>
        </w:tc>
        <w:tc>
          <w:tcPr>
            <w:tcW w:type="dxa" w:w="1153"/>
            <w:tcMar/>
          </w:tcPr>
          <w:p>
            <w:pPr>
              <w:jc w:val="center"/>
            </w:pPr>
            <w:r>
              <w:rPr>
                <w:sz w:val="16"/>
              </w:rPr>
              <w:t>-260.0</w:t>
            </w:r>
          </w:p>
        </w:tc>
        <w:tc>
          <w:tcPr>
            <w:tcW w:type="dxa" w:w="1153"/>
            <w:tcMar/>
          </w:tcPr>
          <w:p>
            <w:pPr>
              <w:jc w:val="center"/>
            </w:pPr>
            <w:r>
              <w:rPr>
                <w:sz w:val="16"/>
              </w:rPr>
              <w:t>14.350</w:t>
            </w:r>
          </w:p>
        </w:tc>
        <w:tc>
          <w:tcPr>
            <w:tcW w:type="dxa" w:w="1153"/>
            <w:tcMar/>
          </w:tcPr>
          <w:p>
            <w:pPr>
              <w:jc w:val="center"/>
            </w:pPr>
            <w:r>
              <w:rPr>
                <w:sz w:val="16"/>
              </w:rPr>
              <w:t>0.26</w:t>
            </w:r>
          </w:p>
        </w:tc>
        <w:tc>
          <w:tcPr>
            <w:tcW w:type="dxa" w:w="1153"/>
            <w:tcMar/>
          </w:tcPr>
          <w:p>
            <w:pPr>
              <w:jc w:val="center"/>
            </w:pPr>
            <w:r>
              <w:rPr>
                <w:sz w:val="16"/>
              </w:rPr>
              <w:t>54.7</w:t>
            </w:r>
          </w:p>
        </w:tc>
      </w:tr>
      <w:tr>
        <w:tc>
          <w:tcPr>
            <w:tcW w:type="dxa" w:w="1153"/>
            <w:tcMar/>
          </w:tcPr>
          <w:p>
            <w:pPr>
              <w:jc w:val="center"/>
            </w:pPr>
            <w:r>
              <w:rPr>
                <w:sz w:val="16"/>
              </w:rPr>
              <w:t>Q9</w:t>
            </w:r>
          </w:p>
        </w:tc>
        <w:tc>
          <w:tcPr>
            <w:tcW w:type="dxa" w:w="1153"/>
            <w:tcMar/>
          </w:tcPr>
          <w:p>
            <w:pPr>
              <w:jc w:val="center"/>
            </w:pPr>
            <w:r>
              <w:rPr>
                <w:sz w:val="16"/>
              </w:rPr>
              <w:t>5.8425</w:t>
            </w:r>
          </w:p>
        </w:tc>
        <w:tc>
          <w:tcPr>
            <w:tcW w:type="dxa" w:w="1153"/>
            <w:tcMar/>
          </w:tcPr>
          <w:p>
            <w:pPr>
              <w:jc w:val="center"/>
            </w:pPr>
            <w:r>
              <w:rPr>
                <w:sz w:val="16"/>
              </w:rPr>
              <w:t>-260.0</w:t>
            </w:r>
          </w:p>
        </w:tc>
        <w:tc>
          <w:tcPr>
            <w:tcW w:type="dxa" w:w="1153"/>
            <w:tcMar/>
          </w:tcPr>
          <w:p>
            <w:pPr>
              <w:jc w:val="center"/>
            </w:pPr>
            <w:r>
              <w:rPr>
                <w:sz w:val="16"/>
              </w:rPr>
              <w:t>13.922</w:t>
            </w:r>
          </w:p>
        </w:tc>
        <w:tc>
          <w:tcPr>
            <w:tcW w:type="dxa" w:w="1153"/>
            <w:tcMar/>
          </w:tcPr>
          <w:p>
            <w:pPr>
              <w:jc w:val="center"/>
            </w:pPr>
            <w:r>
              <w:rPr>
                <w:sz w:val="16"/>
              </w:rPr>
              <w:t>0.26</w:t>
            </w:r>
          </w:p>
        </w:tc>
        <w:tc>
          <w:tcPr>
            <w:tcW w:type="dxa" w:w="1153"/>
            <w:tcMar/>
          </w:tcPr>
          <w:p>
            <w:pPr>
              <w:jc w:val="center"/>
            </w:pPr>
            <w:r>
              <w:rPr>
                <w:sz w:val="16"/>
              </w:rPr>
              <w:t>54.7</w:t>
            </w:r>
          </w:p>
        </w:tc>
      </w:tr>
      <w:tr>
        <w:tc>
          <w:tcPr>
            <w:tcW w:type="dxa" w:w="1153"/>
            <w:tcMar/>
          </w:tcPr>
          <w:p>
            <w:pPr>
              <w:jc w:val="center"/>
            </w:pPr>
            <w:r>
              <w:rPr>
                <w:sz w:val="16"/>
              </w:rPr>
              <w:t>Q10</w:t>
            </w:r>
          </w:p>
        </w:tc>
        <w:tc>
          <w:tcPr>
            <w:tcW w:type="dxa" w:w="1153"/>
            <w:tcMar/>
          </w:tcPr>
          <w:p>
            <w:pPr>
              <w:jc w:val="center"/>
            </w:pPr>
            <w:r>
              <w:rPr>
                <w:sz w:val="16"/>
              </w:rPr>
              <w:t>5.8950</w:t>
            </w:r>
          </w:p>
        </w:tc>
        <w:tc>
          <w:tcPr>
            <w:tcW w:type="dxa" w:w="1153"/>
            <w:tcMar/>
          </w:tcPr>
          <w:p>
            <w:pPr>
              <w:jc w:val="center"/>
            </w:pPr>
            <w:r>
              <w:rPr>
                <w:sz w:val="16"/>
              </w:rPr>
              <w:t>-260.0</w:t>
            </w:r>
          </w:p>
        </w:tc>
        <w:tc>
          <w:tcPr>
            <w:tcW w:type="dxa" w:w="1153"/>
            <w:tcMar/>
          </w:tcPr>
          <w:p>
            <w:pPr>
              <w:jc w:val="center"/>
            </w:pPr>
            <w:r>
              <w:rPr>
                <w:sz w:val="16"/>
              </w:rPr>
              <w:t>14.337</w:t>
            </w:r>
          </w:p>
        </w:tc>
        <w:tc>
          <w:tcPr>
            <w:tcW w:type="dxa" w:w="1153"/>
            <w:tcMar/>
          </w:tcPr>
          <w:p>
            <w:pPr>
              <w:jc w:val="center"/>
            </w:pPr>
            <w:r>
              <w:rPr>
                <w:sz w:val="16"/>
              </w:rPr>
              <w:t>0.26</w:t>
            </w:r>
          </w:p>
        </w:tc>
        <w:tc>
          <w:tcPr>
            <w:tcW w:type="dxa" w:w="1153"/>
            <w:tcMar/>
          </w:tcPr>
          <w:p>
            <w:pPr>
              <w:jc w:val="center"/>
            </w:pPr>
            <w:r>
              <w:rPr>
                <w:sz w:val="16"/>
              </w:rPr>
              <w:t>54.7</w:t>
            </w:r>
          </w:p>
        </w:tc>
      </w:tr>
    </w:tbl>
    <w:p>
      <w:pPr>
        <w:pStyle w:val="heading2"/>
      </w:pPr>
      <w:r>
        <w:t>Experiment 2: Intent Routing Accuracy</w:t>
      </w:r>
    </w:p>
    <w:p>
      <w:pPr>
        <w:pStyle w:val="p1a"/>
      </w:pPr>
      <w:r>
        <w:t>Task. We evaluate the keyword-based intent routing mechanism on 50 diverse user queries spanning all 10 agent domains, with ground-truth labels assigned by domain experts. Queries are formulated in English and cover the full spectrum from simple factual questions to complex multi-step requests.</w:t>
      </w:r>
    </w:p>
    <w:p>
      <w:pPr/>
      <w:r>
        <w:t>Results. The routing mechanism achieves 84.0% overall accuracy (42/50). Six agents achieve 100% routing accuracy: chip_designer, simulation_engineer, algorithm_engineer, measure_scientist, knowledge_engineer, and project_manager. The lowest accuracy is for device_ops (66.7%) and theorist (73.3%), where ambiguous cross-domain queries create legitimate routing conflicts.</w:t>
      </w:r>
    </w:p>
    <w:p>
      <w:pPr>
        <w:jc w:val="center"/>
      </w:pPr>
      <w:r>
        <w:drawing>
          <wp:inline xmlns:a="http://schemas.openxmlformats.org/drawingml/2006/main" xmlns:pic="http://schemas.openxmlformats.org/drawingml/2006/picture">
            <wp:extent cx="5029200" cy="2126343"/>
            <wp:docPr id="7" name="Picture 7"/>
            <wp:cNvGraphicFramePr>
              <a:graphicFrameLocks noChangeAspect="1"/>
            </wp:cNvGraphicFramePr>
            <a:graphic>
              <a:graphicData uri="http://schemas.openxmlformats.org/drawingml/2006/picture">
                <pic:pic>
                  <pic:nvPicPr>
                    <pic:cNvPr id="0" name="fig6_routing_accuracy.png"/>
                    <pic:cNvPicPr/>
                  </pic:nvPicPr>
                  <pic:blipFill>
                    <a:blip r:embed="rId27"/>
                    <a:stretch>
                      <a:fillRect/>
                    </a:stretch>
                  </pic:blipFill>
                  <pic:spPr>
                    <a:xfrm>
                      <a:off x="0" y="0"/>
                      <a:ext cx="5029200" cy="2126343"/>
                    </a:xfrm>
                    <a:prstGeom prst="rect"/>
                  </pic:spPr>
                </pic:pic>
              </a:graphicData>
            </a:graphic>
          </wp:inline>
        </w:drawing>
      </w:r>
    </w:p>
    <w:p>
      <w:pPr>
        <w:pStyle w:val="figurecaption"/>
      </w:pPr>
      <w:r>
        <w:t>Fig. 6. Intent routing accuracy per agent across 50 test queries. Dashed line shows overall accuracy. Green bars indicate &gt;=80% accuracy.</w:t>
      </w:r>
    </w:p>
    <w:p>
      <w:pPr/>
      <w:r>
        <w:t>Analysis. Routing errors concentrate on inherently ambiguous queries where multiple agents have legitimate claim. For example, 'What is the T1 of Q3?' could reasonably be routed to the theorist (for theoretical prediction), the measurement scientist (for experimental measurement), or the data analyst (for database lookup). Rather than viewing these as failures, they highlight the need for collaborative routing where multiple agents can contribute partial answers. The keyword-based approach provides a strong baseline that is interpretable and maintainable, while leaving room for learned routing models in future work.</w:t>
      </w:r>
    </w:p>
    <w:p>
      <w:pPr>
        <w:pStyle w:val="heading2"/>
      </w:pPr>
      <w:r>
        <w:t>Experiment 3: Tool-Call Chain Orchestration</w:t>
      </w:r>
    </w:p>
    <w:p>
      <w:pPr>
        <w:pStyle w:val="p1a"/>
        <w:jc w:val="center"/>
      </w:pPr>
      <w:r>
        <w:t>Task. We test AetherQ's ability to execute multi-step tool-call chains of varying depth, from single-tool queries to 8-step end-to-end design-simulate-validate pipelines. The system registers 140 tools across 19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9"/>
        <w:gridCol w:w="1729"/>
        <w:gridCol w:w="1729"/>
        <w:gridCol w:w="1729"/>
      </w:tblGrid>
      <w:tr>
        <w:tc>
          <w:tcPr>
            <w:tcW w:type="dxa" w:w="1729"/>
            <w:tcMar/>
          </w:tcPr>
          <w:p>
            <w:pPr>
              <w:jc w:val="center"/>
            </w:pPr>
            <w:r>
              <w:rPr>
                <w:b/>
                <w:sz w:val="16"/>
              </w:rPr>
              <w:t>Mechanism</w:t>
            </w:r>
          </w:p>
        </w:tc>
        <w:tc>
          <w:tcPr>
            <w:tcW w:type="dxa" w:w="1729"/>
            <w:tcMar/>
          </w:tcPr>
          <w:p>
            <w:pPr>
              <w:jc w:val="center"/>
            </w:pPr>
            <w:r>
              <w:rPr>
                <w:b/>
                <w:sz w:val="16"/>
              </w:rPr>
              <w:t>T1/T2 contribution (us)</w:t>
            </w:r>
          </w:p>
        </w:tc>
        <w:tc>
          <w:tcPr>
            <w:tcW w:type="dxa" w:w="1729"/>
            <w:tcMar/>
          </w:tcPr>
          <w:p>
            <w:pPr>
              <w:jc w:val="center"/>
            </w:pPr>
            <w:r>
              <w:rPr>
                <w:b/>
                <w:sz w:val="16"/>
              </w:rPr>
              <w:t>Rate contribution (%)</w:t>
            </w:r>
          </w:p>
        </w:tc>
        <w:tc>
          <w:tcPr>
            <w:tcW w:type="dxa" w:w="1729"/>
            <w:tcMar/>
          </w:tcPr>
          <w:p>
            <w:pPr>
              <w:jc w:val="center"/>
            </w:pPr>
            <w:r>
              <w:rPr>
                <w:b/>
                <w:sz w:val="16"/>
              </w:rPr>
              <w:t>Category</w:t>
            </w:r>
          </w:p>
        </w:tc>
      </w:tr>
      <w:tr>
        <w:tc>
          <w:tcPr>
            <w:tcW w:type="dxa" w:w="1729"/>
            <w:tcMar/>
          </w:tcPr>
          <w:p>
            <w:pPr>
              <w:jc w:val="center"/>
            </w:pPr>
            <w:r>
              <w:rPr>
                <w:sz w:val="16"/>
              </w:rPr>
              <w:t>Dielectric loss</w:t>
            </w:r>
          </w:p>
        </w:tc>
        <w:tc>
          <w:tcPr>
            <w:tcW w:type="dxa" w:w="1729"/>
            <w:tcMar/>
          </w:tcPr>
          <w:p>
            <w:pPr>
              <w:jc w:val="center"/>
            </w:pPr>
            <w:r>
              <w:rPr>
                <w:sz w:val="16"/>
              </w:rPr>
              <w:t>76.0</w:t>
            </w:r>
          </w:p>
        </w:tc>
        <w:tc>
          <w:tcPr>
            <w:tcW w:type="dxa" w:w="1729"/>
            <w:tcMar/>
          </w:tcPr>
          <w:p>
            <w:pPr>
              <w:jc w:val="center"/>
            </w:pPr>
            <w:r>
              <w:rPr>
                <w:sz w:val="16"/>
              </w:rPr>
              <w:t>39.5</w:t>
            </w:r>
          </w:p>
        </w:tc>
        <w:tc>
          <w:tcPr>
            <w:tcW w:type="dxa" w:w="1729"/>
            <w:tcMar/>
          </w:tcPr>
          <w:p>
            <w:pPr>
              <w:jc w:val="center"/>
            </w:pPr>
            <w:r>
              <w:rPr>
                <w:sz w:val="16"/>
              </w:rPr>
              <w:t>T1 limiter</w:t>
            </w:r>
          </w:p>
        </w:tc>
      </w:tr>
      <w:tr>
        <w:tc>
          <w:tcPr>
            <w:tcW w:type="dxa" w:w="1729"/>
            <w:tcMar/>
          </w:tcPr>
          <w:p>
            <w:pPr>
              <w:jc w:val="center"/>
            </w:pPr>
            <w:r>
              <w:rPr>
                <w:sz w:val="16"/>
              </w:rPr>
              <w:t>TLS defects</w:t>
            </w:r>
          </w:p>
        </w:tc>
        <w:tc>
          <w:tcPr>
            <w:tcW w:type="dxa" w:w="1729"/>
            <w:tcMar/>
          </w:tcPr>
          <w:p>
            <w:pPr>
              <w:jc w:val="center"/>
            </w:pPr>
            <w:r>
              <w:rPr>
                <w:sz w:val="16"/>
              </w:rPr>
              <w:t>115.6</w:t>
            </w:r>
          </w:p>
        </w:tc>
        <w:tc>
          <w:tcPr>
            <w:tcW w:type="dxa" w:w="1729"/>
            <w:tcMar/>
          </w:tcPr>
          <w:p>
            <w:pPr>
              <w:jc w:val="center"/>
            </w:pPr>
            <w:r>
              <w:rPr>
                <w:sz w:val="16"/>
              </w:rPr>
              <w:t>25.9</w:t>
            </w:r>
          </w:p>
        </w:tc>
        <w:tc>
          <w:tcPr>
            <w:tcW w:type="dxa" w:w="1729"/>
            <w:tcMar/>
          </w:tcPr>
          <w:p>
            <w:pPr>
              <w:jc w:val="center"/>
            </w:pPr>
            <w:r>
              <w:rPr>
                <w:sz w:val="16"/>
              </w:rPr>
              <w:t>T1 limiter</w:t>
            </w:r>
          </w:p>
        </w:tc>
      </w:tr>
      <w:tr>
        <w:tc>
          <w:tcPr>
            <w:tcW w:type="dxa" w:w="1729"/>
            <w:tcMar/>
          </w:tcPr>
          <w:p>
            <w:pPr>
              <w:jc w:val="center"/>
            </w:pPr>
            <w:r>
              <w:rPr>
                <w:sz w:val="16"/>
              </w:rPr>
              <w:t>1/f flux noise</w:t>
            </w:r>
          </w:p>
        </w:tc>
        <w:tc>
          <w:tcPr>
            <w:tcW w:type="dxa" w:w="1729"/>
            <w:tcMar/>
          </w:tcPr>
          <w:p>
            <w:pPr>
              <w:jc w:val="center"/>
            </w:pPr>
            <w:r>
              <w:rPr>
                <w:sz w:val="16"/>
              </w:rPr>
              <w:t>56.1 (T_phi)</w:t>
            </w:r>
          </w:p>
        </w:tc>
        <w:tc>
          <w:tcPr>
            <w:tcW w:type="dxa" w:w="1729"/>
            <w:tcMar/>
          </w:tcPr>
          <w:p>
            <w:pPr>
              <w:jc w:val="center"/>
            </w:pPr>
            <w:r>
              <w:rPr>
                <w:sz w:val="16"/>
              </w:rPr>
              <w:t>22.1</w:t>
            </w:r>
          </w:p>
        </w:tc>
        <w:tc>
          <w:tcPr>
            <w:tcW w:type="dxa" w:w="1729"/>
            <w:tcMar/>
          </w:tcPr>
          <w:p>
            <w:pPr>
              <w:jc w:val="center"/>
            </w:pPr>
            <w:r>
              <w:rPr>
                <w:sz w:val="16"/>
              </w:rPr>
              <w:t>T2 limiter</w:t>
            </w:r>
          </w:p>
        </w:tc>
      </w:tr>
      <w:tr>
        <w:tc>
          <w:tcPr>
            <w:tcW w:type="dxa" w:w="1729"/>
            <w:tcMar/>
          </w:tcPr>
          <w:p>
            <w:pPr>
              <w:jc w:val="center"/>
            </w:pPr>
            <w:r>
              <w:rPr>
                <w:sz w:val="16"/>
              </w:rPr>
              <w:t>Purcell decay</w:t>
            </w:r>
          </w:p>
        </w:tc>
        <w:tc>
          <w:tcPr>
            <w:tcW w:type="dxa" w:w="1729"/>
            <w:tcMar/>
          </w:tcPr>
          <w:p>
            <w:pPr>
              <w:jc w:val="center"/>
            </w:pPr>
            <w:r>
              <w:rPr>
                <w:sz w:val="16"/>
              </w:rPr>
              <w:t>193.3</w:t>
            </w:r>
          </w:p>
        </w:tc>
        <w:tc>
          <w:tcPr>
            <w:tcW w:type="dxa" w:w="1729"/>
            <w:tcMar/>
          </w:tcPr>
          <w:p>
            <w:pPr>
              <w:jc w:val="center"/>
            </w:pPr>
            <w:r>
              <w:rPr>
                <w:sz w:val="16"/>
              </w:rPr>
              <w:t>15.5</w:t>
            </w:r>
          </w:p>
        </w:tc>
        <w:tc>
          <w:tcPr>
            <w:tcW w:type="dxa" w:w="1729"/>
            <w:tcMar/>
          </w:tcPr>
          <w:p>
            <w:pPr>
              <w:jc w:val="center"/>
            </w:pPr>
            <w:r>
              <w:rPr>
                <w:sz w:val="16"/>
              </w:rPr>
              <w:t>T1 limiter</w:t>
            </w:r>
          </w:p>
        </w:tc>
      </w:tr>
      <w:tr>
        <w:tc>
          <w:tcPr>
            <w:tcW w:type="dxa" w:w="1729"/>
            <w:tcMar/>
          </w:tcPr>
          <w:p>
            <w:pPr>
              <w:jc w:val="center"/>
            </w:pPr>
            <w:r>
              <w:rPr>
                <w:sz w:val="16"/>
              </w:rPr>
              <w:t>Radiation loss</w:t>
            </w:r>
          </w:p>
        </w:tc>
        <w:tc>
          <w:tcPr>
            <w:tcW w:type="dxa" w:w="1729"/>
            <w:tcMar/>
          </w:tcPr>
          <w:p>
            <w:pPr>
              <w:jc w:val="center"/>
            </w:pPr>
            <w:r>
              <w:rPr>
                <w:sz w:val="16"/>
              </w:rPr>
              <w:t>255.9</w:t>
            </w:r>
          </w:p>
        </w:tc>
        <w:tc>
          <w:tcPr>
            <w:tcW w:type="dxa" w:w="1729"/>
            <w:tcMar/>
          </w:tcPr>
          <w:p>
            <w:pPr>
              <w:jc w:val="center"/>
            </w:pPr>
            <w:r>
              <w:rPr>
                <w:sz w:val="16"/>
              </w:rPr>
              <w:t>11.7</w:t>
            </w:r>
          </w:p>
        </w:tc>
        <w:tc>
          <w:tcPr>
            <w:tcW w:type="dxa" w:w="1729"/>
            <w:tcMar/>
          </w:tcPr>
          <w:p>
            <w:pPr>
              <w:jc w:val="center"/>
            </w:pPr>
            <w:r>
              <w:rPr>
                <w:sz w:val="16"/>
              </w:rPr>
              <w:t>T1 limiter</w:t>
            </w:r>
          </w:p>
        </w:tc>
      </w:tr>
      <w:tr>
        <w:tc>
          <w:tcPr>
            <w:tcW w:type="dxa" w:w="1729"/>
            <w:tcMar/>
          </w:tcPr>
          <w:p>
            <w:pPr>
              <w:jc w:val="center"/>
            </w:pPr>
            <w:r>
              <w:rPr>
                <w:sz w:val="16"/>
              </w:rPr>
              <w:t>Quasiparticle tunneling</w:t>
            </w:r>
          </w:p>
        </w:tc>
        <w:tc>
          <w:tcPr>
            <w:tcW w:type="dxa" w:w="1729"/>
            <w:tcMar/>
          </w:tcPr>
          <w:p>
            <w:pPr>
              <w:jc w:val="center"/>
            </w:pPr>
            <w:r>
              <w:rPr>
                <w:sz w:val="16"/>
              </w:rPr>
              <w:t>407.1</w:t>
            </w:r>
          </w:p>
        </w:tc>
        <w:tc>
          <w:tcPr>
            <w:tcW w:type="dxa" w:w="1729"/>
            <w:tcMar/>
          </w:tcPr>
          <w:p>
            <w:pPr>
              <w:jc w:val="center"/>
            </w:pPr>
            <w:r>
              <w:rPr>
                <w:sz w:val="16"/>
              </w:rPr>
              <w:t>7.4</w:t>
            </w:r>
          </w:p>
        </w:tc>
        <w:tc>
          <w:tcPr>
            <w:tcW w:type="dxa" w:w="1729"/>
            <w:tcMar/>
          </w:tcPr>
          <w:p>
            <w:pPr>
              <w:jc w:val="center"/>
            </w:pPr>
            <w:r>
              <w:rPr>
                <w:sz w:val="16"/>
              </w:rPr>
              <w:t>T1 limiter</w:t>
            </w:r>
          </w:p>
        </w:tc>
      </w:tr>
      <w:tr>
        <w:tc>
          <w:tcPr>
            <w:tcW w:type="dxa" w:w="1729"/>
            <w:tcMar/>
          </w:tcPr>
          <w:p>
            <w:pPr>
              <w:jc w:val="center"/>
            </w:pPr>
            <w:r>
              <w:rPr>
                <w:sz w:val="16"/>
              </w:rPr>
              <w:t>Thermal photon dephasing</w:t>
            </w:r>
          </w:p>
        </w:tc>
        <w:tc>
          <w:tcPr>
            <w:tcW w:type="dxa" w:w="1729"/>
            <w:tcMar/>
          </w:tcPr>
          <w:p>
            <w:pPr>
              <w:jc w:val="center"/>
            </w:pPr>
            <w:r>
              <w:rPr>
                <w:sz w:val="16"/>
              </w:rPr>
              <w:t>205.0 (T_phi)</w:t>
            </w:r>
          </w:p>
        </w:tc>
        <w:tc>
          <w:tcPr>
            <w:tcW w:type="dxa" w:w="1729"/>
            <w:tcMar/>
          </w:tcPr>
          <w:p>
            <w:pPr>
              <w:jc w:val="center"/>
            </w:pPr>
            <w:r>
              <w:rPr>
                <w:sz w:val="16"/>
              </w:rPr>
              <w:t>6.1</w:t>
            </w:r>
          </w:p>
        </w:tc>
        <w:tc>
          <w:tcPr>
            <w:tcW w:type="dxa" w:w="1729"/>
            <w:tcMar/>
          </w:tcPr>
          <w:p>
            <w:pPr>
              <w:jc w:val="center"/>
            </w:pPr>
            <w:r>
              <w:rPr>
                <w:sz w:val="16"/>
              </w:rPr>
              <w:t>T2 limiter</w:t>
            </w:r>
          </w:p>
        </w:tc>
      </w:tr>
      <w:tr>
        <w:tc>
          <w:tcPr>
            <w:tcW w:type="dxa" w:w="1729"/>
            <w:tcMar/>
          </w:tcPr>
          <w:p>
            <w:pPr>
              <w:jc w:val="center"/>
            </w:pPr>
            <w:r>
              <w:rPr>
                <w:sz w:val="16"/>
              </w:rPr>
              <w:t>Charge noise dephasing</w:t>
            </w:r>
          </w:p>
        </w:tc>
        <w:tc>
          <w:tcPr>
            <w:tcW w:type="dxa" w:w="1729"/>
            <w:tcMar/>
          </w:tcPr>
          <w:p>
            <w:pPr>
              <w:jc w:val="center"/>
            </w:pPr>
            <w:r>
              <w:rPr>
                <w:sz w:val="16"/>
              </w:rPr>
              <w:t>1078.9 (T_phi)</w:t>
            </w:r>
          </w:p>
        </w:tc>
        <w:tc>
          <w:tcPr>
            <w:tcW w:type="dxa" w:w="1729"/>
            <w:tcMar/>
          </w:tcPr>
          <w:p>
            <w:pPr>
              <w:jc w:val="center"/>
            </w:pPr>
            <w:r>
              <w:rPr>
                <w:sz w:val="16"/>
              </w:rPr>
              <w:t>1.2</w:t>
            </w:r>
          </w:p>
        </w:tc>
        <w:tc>
          <w:tcPr>
            <w:tcW w:type="dxa" w:w="1729"/>
            <w:tcMar/>
          </w:tcPr>
          <w:p>
            <w:pPr>
              <w:jc w:val="center"/>
            </w:pPr>
            <w:r>
              <w:rPr>
                <w:sz w:val="16"/>
              </w:rPr>
              <w:t>T2 limiter</w:t>
            </w:r>
          </w:p>
        </w:tc>
      </w:tr>
    </w:tbl>
    <w:p>
      <w:pPr/>
      <w:r>
        <w:t>Results. All five scenarios complete successfully, including the most complex 8-step chain: create_design, add_transmon, add_route, export_gds, q3d_extraction, build_hamiltonian, noise_budget, and design_proposal. In the full design loop, one tool (sim_q3d_extraction) operates in graceful degradation mode, returning physics-informed analytical results instead of full 3D field solutions. The system correctly chains tool outputs as inputs to subsequent tools, maintaining data consistency across the pipeline.</w:t>
      </w:r>
    </w:p>
    <w:p>
      <w:pPr>
        <w:jc w:val="center"/>
      </w:pPr>
      <w:r>
        <w:drawing>
          <wp:inline xmlns:a="http://schemas.openxmlformats.org/drawingml/2006/main" xmlns:pic="http://schemas.openxmlformats.org/drawingml/2006/picture">
            <wp:extent cx="4572000" cy="1873518"/>
            <wp:docPr id="8" name="Picture 8"/>
            <wp:cNvGraphicFramePr>
              <a:graphicFrameLocks noChangeAspect="1"/>
            </wp:cNvGraphicFramePr>
            <a:graphic>
              <a:graphicData uri="http://schemas.openxmlformats.org/drawingml/2006/picture">
                <pic:pic>
                  <pic:nvPicPr>
                    <pic:cNvPr id="0" name="fig7_chain_depth.png"/>
                    <pic:cNvPicPr/>
                  </pic:nvPicPr>
                  <pic:blipFill>
                    <a:blip r:embed="rId28"/>
                    <a:stretch>
                      <a:fillRect/>
                    </a:stretch>
                  </pic:blipFill>
                  <pic:spPr>
                    <a:xfrm>
                      <a:off x="0" y="0"/>
                      <a:ext cx="4572000" cy="1873518"/>
                    </a:xfrm>
                    <a:prstGeom prst="rect"/>
                  </pic:spPr>
                </pic:pic>
              </a:graphicData>
            </a:graphic>
          </wp:inline>
        </w:drawing>
      </w:r>
    </w:p>
    <w:p>
      <w:pPr>
        <w:pStyle w:val="figurecaption"/>
      </w:pPr>
      <w:r>
        <w:t>Fig. 7. Tool-call chain depth across five scenarios of increasing complexity. Blue: tools in chain; Green: actual rounds required.</w:t>
      </w:r>
    </w:p>
    <w:p>
      <w:pPr>
        <w:jc w:val="center"/>
      </w:pPr>
      <w:r>
        <w:t>Analysis. The ReAct loop with maximum 20 rounds provides sufficient headroom for even the most complex chains. Graceful degradation proves essential: rather than failing when a platform is unavailable, the system continues with reduced fidelity, allowing the reasoning chain to complete. This design choice trades accuracy for availability, which is appropriate for research environments where not all tools are always accessible.</w:t>
      </w:r>
    </w:p>
    <w:p>
      <w:pPr>
        <w:pStyle w:val="heading2"/>
        <w:jc w:val="center"/>
      </w:pPr>
      <w:r>
        <w:t>Experiment 4: Cross-Agent Information Flow</w:t>
      </w:r>
    </w:p>
    <w:p>
      <w:pPr>
        <w:pStyle w:val="p1a"/>
      </w:pPr>
      <w:r>
        <w:t>Task. We evaluate information retention and latency across four pipeline scenarios where data must flow between 2-5 specialized agents, carrying 2-8 structured data objects (design IDs, simulation results, Hamiltonian models, diagnosis reports).</w:t>
      </w:r>
    </w:p>
    <w:p>
      <w:pPr/>
      <w:r>
        <w:t>Results. Information retention ranges from 95% for simple two-agent pipelines (Design-to-Simulation) to 85% for complex four-agent pipelines (Measurement-to-Redesign). End-to-end latency ranges from 12 seconds (two agents) to 65 seconds (five agents). The full lifecycle scenario involving five agents and eight data objects achieves 88% retention in 65 seconds.</w:t>
      </w:r>
    </w:p>
    <w:p>
      <w:pPr>
        <w:jc w:val="center"/>
      </w:pPr>
      <w:r>
        <w:drawing>
          <wp:inline xmlns:a="http://schemas.openxmlformats.org/drawingml/2006/main" xmlns:pic="http://schemas.openxmlformats.org/drawingml/2006/picture">
            <wp:extent cx="5029200" cy="1835767"/>
            <wp:docPr id="9" name="Picture 9"/>
            <wp:cNvGraphicFramePr>
              <a:graphicFrameLocks noChangeAspect="1"/>
            </wp:cNvGraphicFramePr>
            <a:graphic>
              <a:graphicData uri="http://schemas.openxmlformats.org/drawingml/2006/picture">
                <pic:pic>
                  <pic:nvPicPr>
                    <pic:cNvPr id="0" name="fig8_cross_agent.png"/>
                    <pic:cNvPicPr/>
                  </pic:nvPicPr>
                  <pic:blipFill>
                    <a:blip r:embed="rId29"/>
                    <a:stretch>
                      <a:fillRect/>
                    </a:stretch>
                  </pic:blipFill>
                  <pic:spPr>
                    <a:xfrm>
                      <a:off x="0" y="0"/>
                      <a:ext cx="5029200" cy="1835767"/>
                    </a:xfrm>
                    <a:prstGeom prst="rect"/>
                  </pic:spPr>
                </pic:pic>
              </a:graphicData>
            </a:graphic>
          </wp:inline>
        </w:drawing>
      </w:r>
    </w:p>
    <w:p>
      <w:pPr>
        <w:pStyle w:val="figurecaption"/>
      </w:pPr>
      <w:r>
        <w:t>Fig. 8. Cross-agent pipeline performance showing information retention (left) and end-to-end latency (right) across four pipeline scenarios of increasing complexity.</w:t>
      </w:r>
    </w:p>
    <w:p>
      <w:pPr/>
      <w:r>
        <w:t>Analysis. Information loss occurs primarily at agent boundaries where context truncation is necessary to fit within LLM context windows. The conversation pipeline protocol mitigates this by persisting all tool results externally, allowing downstream agents to retrieve complete data objects by ID rather than relying on summarized context. Latency scales approximately linearly with pipeline length, dominated by LLM inference time (~10 seconds per agent invocation).</w:t>
      </w:r>
    </w:p>
    <w:p>
      <w:pPr>
        <w:pStyle w:val="heading2"/>
      </w:pPr>
      <w:r>
        <w:t>Experiment 5: Heartbeat Autonomous Discovery</w:t>
      </w:r>
    </w:p>
    <w:p>
      <w:pPr>
        <w:pStyle w:val="p1a"/>
      </w:pPr>
      <w:r>
        <w:t>Task. We evaluate the four-tier heartbeat engine over a simulated 24-hour monitoring period, measuring the quantity, quality, and actionability of autonomously generated discoveries.</w:t>
      </w:r>
    </w:p>
    <w:p>
      <w:pPr>
        <w:jc w:val="center"/>
      </w:pPr>
      <w:r>
        <w:t>Results. The engine produces 8 discoveries across the four tiers with 87.5% actionable rate. Tier L0 (5-minute cadence) performs 288 checks and surfaces 3 operational discoveries including an equipment alarm and ETL pipeline stoppage. Tier L1 (6-hour) performs 4 checks and identifies yield degradation below the 90% threshold. Tier L2 (12-hour) detects a qubit with T1 below the 35 microsecond threshold and a frequency drift anomaly. Most significantly, Tier L3 (24-hour) discovers a cross-domain correlation between fabrication yield and calibration fidelity (99.2% vs. 97.8% in high-yield vs. low-yield batches).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84"/>
        <w:gridCol w:w="1384"/>
        <w:gridCol w:w="1384"/>
        <w:gridCol w:w="1384"/>
        <w:gridCol w:w="1384"/>
      </w:tblGrid>
      <w:tr>
        <w:tc>
          <w:tcPr>
            <w:tcW w:type="dxa" w:w="1384"/>
            <w:tcMar/>
          </w:tcPr>
          <w:p>
            <w:pPr>
              <w:jc w:val="center"/>
            </w:pPr>
            <w:r>
              <w:rPr>
                <w:b/>
                <w:sz w:val="16"/>
              </w:rPr>
              <w:t>Anomaly</w:t>
            </w:r>
          </w:p>
        </w:tc>
        <w:tc>
          <w:tcPr>
            <w:tcW w:type="dxa" w:w="1384"/>
            <w:tcMar/>
          </w:tcPr>
          <w:p>
            <w:pPr>
              <w:jc w:val="center"/>
            </w:pPr>
            <w:r>
              <w:rPr>
                <w:b/>
                <w:sz w:val="16"/>
              </w:rPr>
              <w:t>Observed Metric</w:t>
            </w:r>
          </w:p>
        </w:tc>
        <w:tc>
          <w:tcPr>
            <w:tcW w:type="dxa" w:w="1384"/>
            <w:tcMar/>
          </w:tcPr>
          <w:p>
            <w:pPr>
              <w:jc w:val="center"/>
            </w:pPr>
            <w:r>
              <w:rPr>
                <w:b/>
                <w:sz w:val="16"/>
              </w:rPr>
              <w:t>Top Root Cause</w:t>
            </w:r>
          </w:p>
        </w:tc>
        <w:tc>
          <w:tcPr>
            <w:tcW w:type="dxa" w:w="1384"/>
            <w:tcMar/>
          </w:tcPr>
          <w:p>
            <w:pPr>
              <w:jc w:val="center"/>
            </w:pPr>
            <w:r>
              <w:rPr>
                <w:b/>
                <w:sz w:val="16"/>
              </w:rPr>
              <w:t>Confidence</w:t>
            </w:r>
          </w:p>
        </w:tc>
        <w:tc>
          <w:tcPr>
            <w:tcW w:type="dxa" w:w="1384"/>
            <w:tcMar/>
          </w:tcPr>
          <w:p>
            <w:pPr>
              <w:jc w:val="center"/>
            </w:pPr>
            <w:r>
              <w:rPr>
                <w:b/>
                <w:sz w:val="16"/>
              </w:rPr>
              <w:t>Verification Experiment</w:t>
            </w:r>
          </w:p>
        </w:tc>
      </w:tr>
      <w:tr>
        <w:tc>
          <w:tcPr>
            <w:tcW w:type="dxa" w:w="1384"/>
            <w:tcMar/>
          </w:tcPr>
          <w:p>
            <w:pPr>
              <w:jc w:val="center"/>
            </w:pPr>
            <w:r>
              <w:rPr>
                <w:sz w:val="16"/>
              </w:rPr>
              <w:t>Gate error (high)</w:t>
            </w:r>
          </w:p>
        </w:tc>
        <w:tc>
          <w:tcPr>
            <w:tcW w:type="dxa" w:w="1384"/>
            <w:tcMar/>
          </w:tcPr>
          <w:p>
            <w:pPr>
              <w:jc w:val="center"/>
            </w:pPr>
            <w:r>
              <w:rPr>
                <w:sz w:val="16"/>
              </w:rPr>
              <w:t>Fidelity 98.5%</w:t>
            </w:r>
          </w:p>
        </w:tc>
        <w:tc>
          <w:tcPr>
            <w:tcW w:type="dxa" w:w="1384"/>
            <w:tcMar/>
          </w:tcPr>
          <w:p>
            <w:pPr>
              <w:jc w:val="center"/>
            </w:pPr>
            <w:r>
              <w:rPr>
                <w:sz w:val="16"/>
              </w:rPr>
              <w:t>Frequency collision near CZ point</w:t>
            </w:r>
          </w:p>
        </w:tc>
        <w:tc>
          <w:tcPr>
            <w:tcW w:type="dxa" w:w="1384"/>
            <w:tcMar/>
          </w:tcPr>
          <w:p>
            <w:pPr>
              <w:jc w:val="center"/>
            </w:pPr>
            <w:r>
              <w:rPr>
                <w:sz w:val="16"/>
              </w:rPr>
              <w:t>50%</w:t>
            </w:r>
          </w:p>
        </w:tc>
        <w:tc>
          <w:tcPr>
            <w:tcW w:type="dxa" w:w="1384"/>
            <w:tcMar/>
          </w:tcPr>
          <w:p>
            <w:pPr>
              <w:jc w:val="center"/>
            </w:pPr>
            <w:r>
              <w:rPr>
                <w:sz w:val="16"/>
              </w:rPr>
              <w:t>High-res Chevron scan + leakage measurement</w:t>
            </w:r>
          </w:p>
        </w:tc>
      </w:tr>
      <w:tr>
        <w:tc>
          <w:tcPr>
            <w:tcW w:type="dxa" w:w="1384"/>
            <w:tcMar/>
          </w:tcPr>
          <w:p>
            <w:pPr>
              <w:jc w:val="center"/>
            </w:pPr>
            <w:r>
              <w:rPr>
                <w:sz w:val="16"/>
              </w:rPr>
              <w:t>T1 degradation</w:t>
            </w:r>
          </w:p>
        </w:tc>
        <w:tc>
          <w:tcPr>
            <w:tcW w:type="dxa" w:w="1384"/>
            <w:tcMar/>
          </w:tcPr>
          <w:p>
            <w:pPr>
              <w:jc w:val="center"/>
            </w:pPr>
            <w:r>
              <w:rPr>
                <w:sz w:val="16"/>
              </w:rPr>
              <w:t>T1 = 25 us</w:t>
            </w:r>
          </w:p>
        </w:tc>
        <w:tc>
          <w:tcPr>
            <w:tcW w:type="dxa" w:w="1384"/>
            <w:tcMar/>
          </w:tcPr>
          <w:p>
            <w:pPr>
              <w:jc w:val="center"/>
            </w:pPr>
            <w:r>
              <w:rPr>
                <w:sz w:val="16"/>
              </w:rPr>
              <w:t>Surface dielectric loss (TLS activation)</w:t>
            </w:r>
          </w:p>
        </w:tc>
        <w:tc>
          <w:tcPr>
            <w:tcW w:type="dxa" w:w="1384"/>
            <w:tcMar/>
          </w:tcPr>
          <w:p>
            <w:pPr>
              <w:jc w:val="center"/>
            </w:pPr>
            <w:r>
              <w:rPr>
                <w:sz w:val="16"/>
              </w:rPr>
              <w:t>40%</w:t>
            </w:r>
          </w:p>
        </w:tc>
        <w:tc>
          <w:tcPr>
            <w:tcW w:type="dxa" w:w="1384"/>
            <w:tcMar/>
          </w:tcPr>
          <w:p>
            <w:pPr>
              <w:jc w:val="center"/>
            </w:pPr>
            <w:r>
              <w:rPr>
                <w:sz w:val="16"/>
              </w:rPr>
              <w:t>T1 vs frequency scan + power-dependent T1</w:t>
            </w:r>
          </w:p>
        </w:tc>
      </w:tr>
      <w:tr>
        <w:tc>
          <w:tcPr>
            <w:tcW w:type="dxa" w:w="1384"/>
            <w:tcMar/>
          </w:tcPr>
          <w:p>
            <w:pPr>
              <w:jc w:val="center"/>
            </w:pPr>
            <w:r>
              <w:rPr>
                <w:sz w:val="16"/>
              </w:rPr>
              <w:t>Frequency drift</w:t>
            </w:r>
          </w:p>
        </w:tc>
        <w:tc>
          <w:tcPr>
            <w:tcW w:type="dxa" w:w="1384"/>
            <w:tcMar/>
          </w:tcPr>
          <w:p>
            <w:pPr>
              <w:jc w:val="center"/>
            </w:pPr>
            <w:r>
              <w:rPr>
                <w:sz w:val="16"/>
              </w:rPr>
              <w:t>0.5 MHz/hour</w:t>
            </w:r>
          </w:p>
        </w:tc>
        <w:tc>
          <w:tcPr>
            <w:tcW w:type="dxa" w:w="1384"/>
            <w:tcMar/>
          </w:tcPr>
          <w:p>
            <w:pPr>
              <w:jc w:val="center"/>
            </w:pPr>
            <w:r>
              <w:rPr>
                <w:sz w:val="16"/>
              </w:rPr>
              <w:t>1/f flux noise (surface magnetic defects)</w:t>
            </w:r>
          </w:p>
        </w:tc>
        <w:tc>
          <w:tcPr>
            <w:tcW w:type="dxa" w:w="1384"/>
            <w:tcMar/>
          </w:tcPr>
          <w:p>
            <w:pPr>
              <w:jc w:val="center"/>
            </w:pPr>
            <w:r>
              <w:rPr>
                <w:sz w:val="16"/>
              </w:rPr>
              <w:t>50%</w:t>
            </w:r>
          </w:p>
        </w:tc>
        <w:tc>
          <w:tcPr>
            <w:tcW w:type="dxa" w:w="1384"/>
            <w:tcMar/>
          </w:tcPr>
          <w:p>
            <w:pPr>
              <w:jc w:val="center"/>
            </w:pPr>
            <w:r>
              <w:rPr>
                <w:sz w:val="16"/>
              </w:rPr>
              <w:t>CPMG noise spectroscopy + magnetic shielding test</w:t>
            </w:r>
          </w:p>
        </w:tc>
      </w:tr>
      <w:tr>
        <w:tc>
          <w:tcPr>
            <w:tcW w:type="dxa" w:w="1384"/>
            <w:tcMar/>
          </w:tcPr>
          <w:p>
            <w:pPr>
              <w:jc w:val="center"/>
            </w:pPr>
            <w:r>
              <w:rPr>
                <w:sz w:val="16"/>
              </w:rPr>
              <w:t>Readout error</w:t>
            </w:r>
          </w:p>
        </w:tc>
        <w:tc>
          <w:tcPr>
            <w:tcW w:type="dxa" w:w="1384"/>
            <w:tcMar/>
          </w:tcPr>
          <w:p>
            <w:pPr>
              <w:jc w:val="center"/>
            </w:pPr>
            <w:r>
              <w:rPr>
                <w:sz w:val="16"/>
              </w:rPr>
              <w:t>Fidelity 96.5%</w:t>
            </w:r>
          </w:p>
        </w:tc>
        <w:tc>
          <w:tcPr>
            <w:tcW w:type="dxa" w:w="1384"/>
            <w:tcMar/>
          </w:tcPr>
          <w:p>
            <w:pPr>
              <w:jc w:val="center"/>
            </w:pPr>
            <w:r>
              <w:rPr>
                <w:sz w:val="16"/>
              </w:rPr>
              <w:t>Non-optimal readout power/frequency</w:t>
            </w:r>
          </w:p>
        </w:tc>
        <w:tc>
          <w:tcPr>
            <w:tcW w:type="dxa" w:w="1384"/>
            <w:tcMar/>
          </w:tcPr>
          <w:p>
            <w:pPr>
              <w:jc w:val="center"/>
            </w:pPr>
            <w:r>
              <w:rPr>
                <w:sz w:val="16"/>
              </w:rPr>
              <w:t>35%</w:t>
            </w:r>
          </w:p>
        </w:tc>
        <w:tc>
          <w:tcPr>
            <w:tcW w:type="dxa" w:w="1384"/>
            <w:tcMar/>
          </w:tcPr>
          <w:p>
            <w:pPr>
              <w:jc w:val="center"/>
            </w:pPr>
            <w:r>
              <w:rPr>
                <w:sz w:val="16"/>
              </w:rPr>
              <w:t>Readout power + frequency 2D sweep</w:t>
            </w:r>
          </w:p>
        </w:tc>
      </w:tr>
    </w:tbl>
    <w:p>
      <w:pPr/>
      <w:r>
        <w:t>Analysis. The L3 cross-domain discovery is particularly noteworthy because it requires joining data from the manufacturing execution system (CHIPMES) with measurement data from the calibration database, a correlation that would typically require a human data analyst to hypothesize and manually verify. This demonstrates that autonomous background monitoring can surface non-obvious insights by systematically exploring cross-domain relationships that humans might overlook due to data siloing.</w:t>
      </w:r>
    </w:p>
    <w:p>
      <w:pPr/>
      <w:r/>
    </w:p>
    <w:p>
      <w:pPr/>
      <w:r/>
    </w:p>
    <w:p>
      <w:pPr/>
      <w:r/>
    </w:p>
    <w:p>
      <w:pPr/>
      <w:r/>
    </w:p>
    <w:p>
      <w:pPr/>
      <w:r/>
    </w:p>
    <w:p>
      <w:pPr>
        <w:jc w:val="center"/>
      </w:pPr>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153"/>
        <w:gridCol w:w="1153"/>
        <w:gridCol w:w="1153"/>
        <w:gridCol w:w="1153"/>
        <w:gridCol w:w="1153"/>
        <w:gridCol w:w="1153"/>
      </w:tblGrid>
      <w:tr>
        <w:tc>
          <w:tcPr>
            <w:tcW w:type="dxa" w:w="1153"/>
            <w:tcMar/>
          </w:tcPr>
          <w:p>
            <w:pPr>
              <w:jc w:val="center"/>
            </w:pPr>
            <w:r>
              <w:rPr>
                <w:b/>
                <w:sz w:val="16"/>
              </w:rPr>
              <w:t>Plan</w:t>
            </w:r>
          </w:p>
        </w:tc>
        <w:tc>
          <w:tcPr>
            <w:tcW w:type="dxa" w:w="1153"/>
            <w:tcMar/>
          </w:tcPr>
          <w:p>
            <w:pPr>
              <w:jc w:val="center"/>
            </w:pPr>
            <w:r>
              <w:rPr>
                <w:b/>
                <w:sz w:val="16"/>
              </w:rPr>
              <w:t>Objective</w:t>
            </w:r>
          </w:p>
        </w:tc>
        <w:tc>
          <w:tcPr>
            <w:tcW w:type="dxa" w:w="1153"/>
            <w:tcMar/>
          </w:tcPr>
          <w:p>
            <w:pPr>
              <w:jc w:val="center"/>
            </w:pPr>
            <w:r>
              <w:rPr>
                <w:b/>
                <w:sz w:val="16"/>
              </w:rPr>
              <w:t>Budget (h)</w:t>
            </w:r>
          </w:p>
        </w:tc>
        <w:tc>
          <w:tcPr>
            <w:tcW w:type="dxa" w:w="1153"/>
            <w:tcMar/>
          </w:tcPr>
          <w:p>
            <w:pPr>
              <w:jc w:val="center"/>
            </w:pPr>
            <w:r>
              <w:rPr>
                <w:b/>
                <w:sz w:val="16"/>
              </w:rPr>
              <w:t>Experiments</w:t>
            </w:r>
          </w:p>
        </w:tc>
        <w:tc>
          <w:tcPr>
            <w:tcW w:type="dxa" w:w="1153"/>
            <w:tcMar/>
          </w:tcPr>
          <w:p>
            <w:pPr>
              <w:jc w:val="center"/>
            </w:pPr>
            <w:r>
              <w:rPr>
                <w:b/>
                <w:sz w:val="16"/>
              </w:rPr>
              <w:t>Total Duration (h)</w:t>
            </w:r>
          </w:p>
        </w:tc>
        <w:tc>
          <w:tcPr>
            <w:tcW w:type="dxa" w:w="1153"/>
            <w:tcMar/>
          </w:tcPr>
          <w:p>
            <w:pPr>
              <w:jc w:val="center"/>
            </w:pPr>
            <w:r>
              <w:rPr>
                <w:b/>
                <w:sz w:val="16"/>
              </w:rPr>
              <w:t>Stopping Criterion</w:t>
            </w:r>
          </w:p>
        </w:tc>
      </w:tr>
      <w:tr>
        <w:tc>
          <w:tcPr>
            <w:tcW w:type="dxa" w:w="1153"/>
            <w:tcMar/>
          </w:tcPr>
          <w:p>
            <w:pPr>
              <w:jc w:val="center"/>
            </w:pPr>
            <w:r>
              <w:rPr>
                <w:sz w:val="16"/>
              </w:rPr>
              <w:t>Noise ID</w:t>
            </w:r>
          </w:p>
        </w:tc>
        <w:tc>
          <w:tcPr>
            <w:tcW w:type="dxa" w:w="1153"/>
            <w:tcMar/>
          </w:tcPr>
          <w:p>
            <w:pPr>
              <w:jc w:val="center"/>
            </w:pPr>
            <w:r>
              <w:rPr>
                <w:sz w:val="16"/>
              </w:rPr>
              <w:t>Identify dominant noise</w:t>
            </w:r>
          </w:p>
        </w:tc>
        <w:tc>
          <w:tcPr>
            <w:tcW w:type="dxa" w:w="1153"/>
            <w:tcMar/>
          </w:tcPr>
          <w:p>
            <w:pPr>
              <w:jc w:val="center"/>
            </w:pPr>
            <w:r>
              <w:rPr>
                <w:sz w:val="16"/>
              </w:rPr>
              <w:t>8.0</w:t>
            </w:r>
          </w:p>
        </w:tc>
        <w:tc>
          <w:tcPr>
            <w:tcW w:type="dxa" w:w="1153"/>
            <w:tcMar/>
          </w:tcPr>
          <w:p>
            <w:pPr>
              <w:jc w:val="center"/>
            </w:pPr>
            <w:r>
              <w:rPr>
                <w:sz w:val="16"/>
              </w:rPr>
              <w:t>5</w:t>
            </w:r>
          </w:p>
        </w:tc>
        <w:tc>
          <w:tcPr>
            <w:tcW w:type="dxa" w:w="1153"/>
            <w:tcMar/>
          </w:tcPr>
          <w:p>
            <w:pPr>
              <w:jc w:val="center"/>
            </w:pPr>
            <w:r>
              <w:rPr>
                <w:sz w:val="16"/>
              </w:rPr>
              <w:t>5.3</w:t>
            </w:r>
          </w:p>
        </w:tc>
        <w:tc>
          <w:tcPr>
            <w:tcW w:type="dxa" w:w="1153"/>
            <w:tcMar/>
          </w:tcPr>
          <w:p>
            <w:pPr>
              <w:jc w:val="center"/>
            </w:pPr>
            <w:r>
              <w:rPr>
                <w:sz w:val="16"/>
              </w:rPr>
              <w:t>Top-1 confidence &gt; 0.8</w:t>
            </w:r>
          </w:p>
        </w:tc>
      </w:tr>
      <w:tr>
        <w:tc>
          <w:tcPr>
            <w:tcW w:type="dxa" w:w="1153"/>
            <w:tcMar/>
          </w:tcPr>
          <w:p>
            <w:pPr>
              <w:jc w:val="center"/>
            </w:pPr>
            <w:r>
              <w:rPr>
                <w:sz w:val="16"/>
              </w:rPr>
              <w:t>Gate Diag.</w:t>
            </w:r>
          </w:p>
        </w:tc>
        <w:tc>
          <w:tcPr>
            <w:tcW w:type="dxa" w:w="1153"/>
            <w:tcMar/>
          </w:tcPr>
          <w:p>
            <w:pPr>
              <w:jc w:val="center"/>
            </w:pPr>
            <w:r>
              <w:rPr>
                <w:sz w:val="16"/>
              </w:rPr>
              <w:t>Gate error diagnosis</w:t>
            </w:r>
          </w:p>
        </w:tc>
        <w:tc>
          <w:tcPr>
            <w:tcW w:type="dxa" w:w="1153"/>
            <w:tcMar/>
          </w:tcPr>
          <w:p>
            <w:pPr>
              <w:jc w:val="center"/>
            </w:pPr>
            <w:r>
              <w:rPr>
                <w:sz w:val="16"/>
              </w:rPr>
              <w:t>6.0</w:t>
            </w:r>
          </w:p>
        </w:tc>
        <w:tc>
          <w:tcPr>
            <w:tcW w:type="dxa" w:w="1153"/>
            <w:tcMar/>
          </w:tcPr>
          <w:p>
            <w:pPr>
              <w:jc w:val="center"/>
            </w:pPr>
            <w:r>
              <w:rPr>
                <w:sz w:val="16"/>
              </w:rPr>
              <w:t>5</w:t>
            </w:r>
          </w:p>
        </w:tc>
        <w:tc>
          <w:tcPr>
            <w:tcW w:type="dxa" w:w="1153"/>
            <w:tcMar/>
          </w:tcPr>
          <w:p>
            <w:pPr>
              <w:jc w:val="center"/>
            </w:pPr>
            <w:r>
              <w:rPr>
                <w:sz w:val="16"/>
              </w:rPr>
              <w:t>5.8</w:t>
            </w:r>
          </w:p>
        </w:tc>
        <w:tc>
          <w:tcPr>
            <w:tcW w:type="dxa" w:w="1153"/>
            <w:tcMar/>
          </w:tcPr>
          <w:p>
            <w:pPr>
              <w:jc w:val="center"/>
            </w:pPr>
            <w:r>
              <w:rPr>
                <w:sz w:val="16"/>
              </w:rPr>
              <w:t>Top-1 confidence &gt; 0.8</w:t>
            </w:r>
          </w:p>
        </w:tc>
      </w:tr>
      <w:tr>
        <w:tc>
          <w:tcPr>
            <w:tcW w:type="dxa" w:w="1153"/>
            <w:tcMar/>
          </w:tcPr>
          <w:p>
            <w:pPr>
              <w:jc w:val="center"/>
            </w:pPr>
            <w:r>
              <w:rPr>
                <w:sz w:val="16"/>
              </w:rPr>
              <w:t>Readout Opt.</w:t>
            </w:r>
          </w:p>
        </w:tc>
        <w:tc>
          <w:tcPr>
            <w:tcW w:type="dxa" w:w="1153"/>
            <w:tcMar/>
          </w:tcPr>
          <w:p>
            <w:pPr>
              <w:jc w:val="center"/>
            </w:pPr>
            <w:r>
              <w:rPr>
                <w:sz w:val="16"/>
              </w:rPr>
              <w:t>Readout optimization</w:t>
            </w:r>
          </w:p>
        </w:tc>
        <w:tc>
          <w:tcPr>
            <w:tcW w:type="dxa" w:w="1153"/>
            <w:tcMar/>
          </w:tcPr>
          <w:p>
            <w:pPr>
              <w:jc w:val="center"/>
            </w:pPr>
            <w:r>
              <w:rPr>
                <w:sz w:val="16"/>
              </w:rPr>
              <w:t>3.0</w:t>
            </w:r>
          </w:p>
        </w:tc>
        <w:tc>
          <w:tcPr>
            <w:tcW w:type="dxa" w:w="1153"/>
            <w:tcMar/>
          </w:tcPr>
          <w:p>
            <w:pPr>
              <w:jc w:val="center"/>
            </w:pPr>
            <w:r>
              <w:rPr>
                <w:sz w:val="16"/>
              </w:rPr>
              <w:t>3</w:t>
            </w:r>
          </w:p>
        </w:tc>
        <w:tc>
          <w:tcPr>
            <w:tcW w:type="dxa" w:w="1153"/>
            <w:tcMar/>
          </w:tcPr>
          <w:p>
            <w:pPr>
              <w:jc w:val="center"/>
            </w:pPr>
            <w:r>
              <w:rPr>
                <w:sz w:val="16"/>
              </w:rPr>
              <w:t>1.8</w:t>
            </w:r>
          </w:p>
        </w:tc>
        <w:tc>
          <w:tcPr>
            <w:tcW w:type="dxa" w:w="1153"/>
            <w:tcMar/>
          </w:tcPr>
          <w:p>
            <w:pPr>
              <w:jc w:val="center"/>
            </w:pPr>
            <w:r>
              <w:rPr>
                <w:sz w:val="16"/>
              </w:rPr>
              <w:t>Top-1 confidence &gt; 0.8</w:t>
            </w:r>
          </w:p>
        </w:tc>
      </w:tr>
    </w:tbl>
    <w:p>
      <w:pPr/>
      <w:r/>
    </w:p>
    <w:p>
      <w:pPr/>
      <w:r/>
    </w:p>
    <w:p>
      <w:pPr/>
      <w:r/>
    </w:p>
    <w:p>
      <w:pPr/>
      <w:r/>
    </w:p>
    <w:p>
      <w:pPr/>
      <w:r/>
    </w:p>
    <w:p>
      <w:pPr>
        <w:jc w:val="center"/>
      </w:pPr>
      <w:r/>
    </w:p>
    <w:p>
      <w:pPr>
        <w:jc w:val="center"/>
      </w:pPr>
      <w:r/>
    </w:p>
    <w:p>
      <w:pPr>
        <w:jc w:val="center"/>
      </w:pPr>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88"/>
        <w:gridCol w:w="988"/>
        <w:gridCol w:w="988"/>
        <w:gridCol w:w="988"/>
        <w:gridCol w:w="988"/>
        <w:gridCol w:w="988"/>
        <w:gridCol w:w="988"/>
      </w:tblGrid>
      <w:tr>
        <w:tc>
          <w:tcPr>
            <w:tcW w:type="dxa" w:w="988"/>
            <w:tcMar/>
          </w:tcPr>
          <w:p>
            <w:pPr>
              <w:jc w:val="center"/>
            </w:pPr>
            <w:r>
              <w:rPr>
                <w:b/>
                <w:sz w:val="16"/>
              </w:rPr>
              <w:t>Qubit</w:t>
            </w:r>
          </w:p>
        </w:tc>
        <w:tc>
          <w:tcPr>
            <w:tcW w:type="dxa" w:w="988"/>
            <w:tcMar/>
          </w:tcPr>
          <w:p>
            <w:pPr>
              <w:jc w:val="center"/>
            </w:pPr>
            <w:r>
              <w:rPr>
                <w:b/>
                <w:sz w:val="16"/>
              </w:rPr>
              <w:t>C_self (fF)</w:t>
            </w:r>
          </w:p>
        </w:tc>
        <w:tc>
          <w:tcPr>
            <w:tcW w:type="dxa" w:w="988"/>
            <w:tcMar/>
          </w:tcPr>
          <w:p>
            <w:pPr>
              <w:jc w:val="center"/>
            </w:pPr>
            <w:r>
              <w:rPr>
                <w:b/>
                <w:sz w:val="16"/>
              </w:rPr>
              <w:t>g_nearest (MHz)</w:t>
            </w:r>
          </w:p>
        </w:tc>
        <w:tc>
          <w:tcPr>
            <w:tcW w:type="dxa" w:w="988"/>
            <w:tcMar/>
          </w:tcPr>
          <w:p>
            <w:pPr>
              <w:jc w:val="center"/>
            </w:pPr>
            <w:r>
              <w:rPr>
                <w:b/>
                <w:sz w:val="16"/>
              </w:rPr>
              <w:t>p_junction</w:t>
            </w:r>
          </w:p>
        </w:tc>
        <w:tc>
          <w:tcPr>
            <w:tcW w:type="dxa" w:w="988"/>
            <w:tcMar/>
          </w:tcPr>
          <w:p>
            <w:pPr>
              <w:jc w:val="center"/>
            </w:pPr>
            <w:r>
              <w:rPr>
                <w:b/>
                <w:sz w:val="16"/>
              </w:rPr>
              <w:t>T1_diel (us)</w:t>
            </w:r>
          </w:p>
        </w:tc>
        <w:tc>
          <w:tcPr>
            <w:tcW w:type="dxa" w:w="988"/>
            <w:tcMar/>
          </w:tcPr>
          <w:p>
            <w:pPr>
              <w:jc w:val="center"/>
            </w:pPr>
            <w:r>
              <w:rPr>
                <w:b/>
                <w:sz w:val="16"/>
              </w:rPr>
              <w:t>f_eigen (GHz)</w:t>
            </w:r>
          </w:p>
        </w:tc>
        <w:tc>
          <w:tcPr>
            <w:tcW w:type="dxa" w:w="988"/>
            <w:tcMar/>
          </w:tcPr>
          <w:p>
            <w:pPr>
              <w:jc w:val="center"/>
            </w:pPr>
            <w:r>
              <w:rPr>
                <w:b/>
                <w:sz w:val="16"/>
              </w:rPr>
              <w:t>Q-factor</w:t>
            </w:r>
          </w:p>
        </w:tc>
      </w:tr>
      <w:tr>
        <w:tc>
          <w:tcPr>
            <w:tcW w:type="dxa" w:w="988"/>
            <w:tcMar/>
          </w:tcPr>
          <w:p>
            <w:pPr>
              <w:jc w:val="center"/>
            </w:pPr>
            <w:r>
              <w:rPr>
                <w:sz w:val="16"/>
              </w:rPr>
              <w:t>Q1</w:t>
            </w:r>
          </w:p>
        </w:tc>
        <w:tc>
          <w:tcPr>
            <w:tcW w:type="dxa" w:w="988"/>
            <w:tcMar/>
          </w:tcPr>
          <w:p>
            <w:pPr>
              <w:jc w:val="center"/>
            </w:pPr>
            <w:r>
              <w:rPr>
                <w:sz w:val="16"/>
              </w:rPr>
              <w:t>56.80</w:t>
            </w:r>
          </w:p>
        </w:tc>
        <w:tc>
          <w:tcPr>
            <w:tcW w:type="dxa" w:w="988"/>
            <w:tcMar/>
          </w:tcPr>
          <w:p>
            <w:pPr>
              <w:jc w:val="center"/>
            </w:pPr>
            <w:r>
              <w:rPr>
                <w:sz w:val="16"/>
              </w:rPr>
              <w:t>4.27</w:t>
            </w:r>
          </w:p>
        </w:tc>
        <w:tc>
          <w:tcPr>
            <w:tcW w:type="dxa" w:w="988"/>
            <w:tcMar/>
          </w:tcPr>
          <w:p>
            <w:pPr>
              <w:jc w:val="center"/>
            </w:pPr>
            <w:r>
              <w:rPr>
                <w:sz w:val="16"/>
              </w:rPr>
              <w:t>0.9276</w:t>
            </w:r>
          </w:p>
        </w:tc>
        <w:tc>
          <w:tcPr>
            <w:tcW w:type="dxa" w:w="988"/>
            <w:tcMar/>
          </w:tcPr>
          <w:p>
            <w:pPr>
              <w:jc w:val="center"/>
            </w:pPr>
            <w:r>
              <w:rPr>
                <w:sz w:val="16"/>
              </w:rPr>
              <w:t>150.0</w:t>
            </w:r>
          </w:p>
        </w:tc>
        <w:tc>
          <w:tcPr>
            <w:tcW w:type="dxa" w:w="988"/>
            <w:tcMar/>
          </w:tcPr>
          <w:p>
            <w:pPr>
              <w:jc w:val="center"/>
            </w:pPr>
            <w:r>
              <w:rPr>
                <w:sz w:val="16"/>
              </w:rPr>
              <w:t>5.1991</w:t>
            </w:r>
          </w:p>
        </w:tc>
        <w:tc>
          <w:tcPr>
            <w:tcW w:type="dxa" w:w="988"/>
            <w:tcMar/>
          </w:tcPr>
          <w:p>
            <w:pPr>
              <w:jc w:val="center"/>
            </w:pPr>
            <w:r>
              <w:rPr>
                <w:sz w:val="16"/>
              </w:rPr>
              <w:t>44907</w:t>
            </w:r>
          </w:p>
        </w:tc>
      </w:tr>
      <w:tr>
        <w:tc>
          <w:tcPr>
            <w:tcW w:type="dxa" w:w="988"/>
            <w:tcMar/>
          </w:tcPr>
          <w:p>
            <w:pPr>
              <w:jc w:val="center"/>
            </w:pPr>
            <w:r>
              <w:rPr>
                <w:sz w:val="16"/>
              </w:rPr>
              <w:t>Q2</w:t>
            </w:r>
          </w:p>
        </w:tc>
        <w:tc>
          <w:tcPr>
            <w:tcW w:type="dxa" w:w="988"/>
            <w:tcMar/>
          </w:tcPr>
          <w:p>
            <w:pPr>
              <w:jc w:val="center"/>
            </w:pPr>
            <w:r>
              <w:rPr>
                <w:sz w:val="16"/>
              </w:rPr>
              <w:t>60.11</w:t>
            </w:r>
          </w:p>
        </w:tc>
        <w:tc>
          <w:tcPr>
            <w:tcW w:type="dxa" w:w="988"/>
            <w:tcMar/>
          </w:tcPr>
          <w:p>
            <w:pPr>
              <w:jc w:val="center"/>
            </w:pPr>
            <w:r>
              <w:rPr>
                <w:sz w:val="16"/>
              </w:rPr>
              <w:t>1.72</w:t>
            </w:r>
          </w:p>
        </w:tc>
        <w:tc>
          <w:tcPr>
            <w:tcW w:type="dxa" w:w="988"/>
            <w:tcMar/>
          </w:tcPr>
          <w:p>
            <w:pPr>
              <w:jc w:val="center"/>
            </w:pPr>
            <w:r>
              <w:rPr>
                <w:sz w:val="16"/>
              </w:rPr>
              <w:t>0.9337</w:t>
            </w:r>
          </w:p>
        </w:tc>
        <w:tc>
          <w:tcPr>
            <w:tcW w:type="dxa" w:w="988"/>
            <w:tcMar/>
          </w:tcPr>
          <w:p>
            <w:pPr>
              <w:jc w:val="center"/>
            </w:pPr>
            <w:r>
              <w:rPr>
                <w:sz w:val="16"/>
              </w:rPr>
              <w:t>174.5</w:t>
            </w:r>
          </w:p>
        </w:tc>
        <w:tc>
          <w:tcPr>
            <w:tcW w:type="dxa" w:w="988"/>
            <w:tcMar/>
          </w:tcPr>
          <w:p>
            <w:pPr>
              <w:jc w:val="center"/>
            </w:pPr>
            <w:r>
              <w:rPr>
                <w:sz w:val="16"/>
              </w:rPr>
              <w:t>4.6401</w:t>
            </w:r>
          </w:p>
        </w:tc>
        <w:tc>
          <w:tcPr>
            <w:tcW w:type="dxa" w:w="988"/>
            <w:tcMar/>
          </w:tcPr>
          <w:p>
            <w:pPr>
              <w:jc w:val="center"/>
            </w:pPr>
            <w:r>
              <w:rPr>
                <w:sz w:val="16"/>
              </w:rPr>
              <w:t>55241</w:t>
            </w:r>
          </w:p>
        </w:tc>
      </w:tr>
      <w:tr>
        <w:tc>
          <w:tcPr>
            <w:tcW w:type="dxa" w:w="988"/>
            <w:tcMar/>
          </w:tcPr>
          <w:p>
            <w:pPr>
              <w:jc w:val="center"/>
            </w:pPr>
            <w:r>
              <w:rPr>
                <w:sz w:val="16"/>
              </w:rPr>
              <w:t>Q3</w:t>
            </w:r>
          </w:p>
        </w:tc>
        <w:tc>
          <w:tcPr>
            <w:tcW w:type="dxa" w:w="988"/>
            <w:tcMar/>
          </w:tcPr>
          <w:p>
            <w:pPr>
              <w:jc w:val="center"/>
            </w:pPr>
            <w:r>
              <w:rPr>
                <w:sz w:val="16"/>
              </w:rPr>
              <w:t>66.48</w:t>
            </w:r>
          </w:p>
        </w:tc>
        <w:tc>
          <w:tcPr>
            <w:tcW w:type="dxa" w:w="988"/>
            <w:tcMar/>
          </w:tcPr>
          <w:p>
            <w:pPr>
              <w:jc w:val="center"/>
            </w:pPr>
            <w:r>
              <w:rPr>
                <w:sz w:val="16"/>
              </w:rPr>
              <w:t>1.07</w:t>
            </w:r>
          </w:p>
        </w:tc>
        <w:tc>
          <w:tcPr>
            <w:tcW w:type="dxa" w:w="988"/>
            <w:tcMar/>
          </w:tcPr>
          <w:p>
            <w:pPr>
              <w:jc w:val="center"/>
            </w:pPr>
            <w:r>
              <w:rPr>
                <w:sz w:val="16"/>
              </w:rPr>
              <w:t>0.9619</w:t>
            </w:r>
          </w:p>
        </w:tc>
        <w:tc>
          <w:tcPr>
            <w:tcW w:type="dxa" w:w="988"/>
            <w:tcMar/>
          </w:tcPr>
          <w:p>
            <w:pPr>
              <w:jc w:val="center"/>
            </w:pPr>
            <w:r>
              <w:rPr>
                <w:sz w:val="16"/>
              </w:rPr>
              <w:t>303.6</w:t>
            </w:r>
          </w:p>
        </w:tc>
        <w:tc>
          <w:tcPr>
            <w:tcW w:type="dxa" w:w="988"/>
            <w:tcMar/>
          </w:tcPr>
          <w:p>
            <w:pPr>
              <w:jc w:val="center"/>
            </w:pPr>
            <w:r>
              <w:rPr>
                <w:sz w:val="16"/>
              </w:rPr>
              <w:t>5.1632</w:t>
            </w:r>
          </w:p>
        </w:tc>
        <w:tc>
          <w:tcPr>
            <w:tcW w:type="dxa" w:w="988"/>
            <w:tcMar/>
          </w:tcPr>
          <w:p>
            <w:pPr>
              <w:jc w:val="center"/>
            </w:pPr>
            <w:r>
              <w:rPr>
                <w:sz w:val="16"/>
              </w:rPr>
              <w:t>46520</w:t>
            </w:r>
          </w:p>
        </w:tc>
      </w:tr>
      <w:tr>
        <w:tc>
          <w:tcPr>
            <w:tcW w:type="dxa" w:w="988"/>
            <w:tcMar/>
          </w:tcPr>
          <w:p>
            <w:pPr>
              <w:jc w:val="center"/>
            </w:pPr>
            <w:r>
              <w:rPr>
                <w:sz w:val="16"/>
              </w:rPr>
              <w:t>Q4</w:t>
            </w:r>
          </w:p>
        </w:tc>
        <w:tc>
          <w:tcPr>
            <w:tcW w:type="dxa" w:w="988"/>
            <w:tcMar/>
          </w:tcPr>
          <w:p>
            <w:pPr>
              <w:jc w:val="center"/>
            </w:pPr>
            <w:r>
              <w:rPr>
                <w:sz w:val="16"/>
              </w:rPr>
              <w:t>48.28</w:t>
            </w:r>
          </w:p>
        </w:tc>
        <w:tc>
          <w:tcPr>
            <w:tcW w:type="dxa" w:w="988"/>
            <w:tcMar/>
          </w:tcPr>
          <w:p>
            <w:pPr>
              <w:jc w:val="center"/>
            </w:pPr>
            <w:r>
              <w:rPr>
                <w:sz w:val="16"/>
              </w:rPr>
              <w:t>3.49</w:t>
            </w:r>
          </w:p>
        </w:tc>
        <w:tc>
          <w:tcPr>
            <w:tcW w:type="dxa" w:w="988"/>
            <w:tcMar/>
          </w:tcPr>
          <w:p>
            <w:pPr>
              <w:jc w:val="center"/>
            </w:pPr>
            <w:r>
              <w:rPr>
                <w:sz w:val="16"/>
              </w:rPr>
              <w:t>0.9631</w:t>
            </w:r>
          </w:p>
        </w:tc>
        <w:tc>
          <w:tcPr>
            <w:tcW w:type="dxa" w:w="988"/>
            <w:tcMar/>
          </w:tcPr>
          <w:p>
            <w:pPr>
              <w:jc w:val="center"/>
            </w:pPr>
            <w:r>
              <w:rPr>
                <w:sz w:val="16"/>
              </w:rPr>
              <w:t>356.6</w:t>
            </w:r>
          </w:p>
        </w:tc>
        <w:tc>
          <w:tcPr>
            <w:tcW w:type="dxa" w:w="988"/>
            <w:tcMar/>
          </w:tcPr>
          <w:p>
            <w:pPr>
              <w:jc w:val="center"/>
            </w:pPr>
            <w:r>
              <w:rPr>
                <w:sz w:val="16"/>
              </w:rPr>
              <w:t>4.6648</w:t>
            </w:r>
          </w:p>
        </w:tc>
        <w:tc>
          <w:tcPr>
            <w:tcW w:type="dxa" w:w="988"/>
            <w:tcMar/>
          </w:tcPr>
          <w:p>
            <w:pPr>
              <w:jc w:val="center"/>
            </w:pPr>
            <w:r>
              <w:rPr>
                <w:sz w:val="16"/>
              </w:rPr>
              <w:t>65095</w:t>
            </w:r>
          </w:p>
        </w:tc>
      </w:tr>
      <w:tr>
        <w:tc>
          <w:tcPr>
            <w:tcW w:type="dxa" w:w="988"/>
            <w:tcMar/>
          </w:tcPr>
          <w:p>
            <w:pPr>
              <w:jc w:val="center"/>
            </w:pPr>
            <w:r>
              <w:rPr>
                <w:sz w:val="16"/>
              </w:rPr>
              <w:t>Q5</w:t>
            </w:r>
          </w:p>
        </w:tc>
        <w:tc>
          <w:tcPr>
            <w:tcW w:type="dxa" w:w="988"/>
            <w:tcMar/>
          </w:tcPr>
          <w:p>
            <w:pPr>
              <w:jc w:val="center"/>
            </w:pPr>
            <w:r>
              <w:rPr>
                <w:sz w:val="16"/>
              </w:rPr>
              <w:t>54.65</w:t>
            </w:r>
          </w:p>
        </w:tc>
        <w:tc>
          <w:tcPr>
            <w:tcW w:type="dxa" w:w="988"/>
            <w:tcMar/>
          </w:tcPr>
          <w:p>
            <w:pPr>
              <w:jc w:val="center"/>
            </w:pPr>
            <w:r>
              <w:rPr>
                <w:sz w:val="16"/>
              </w:rPr>
              <w:t>1.30</w:t>
            </w:r>
          </w:p>
        </w:tc>
        <w:tc>
          <w:tcPr>
            <w:tcW w:type="dxa" w:w="988"/>
            <w:tcMar/>
          </w:tcPr>
          <w:p>
            <w:pPr>
              <w:jc w:val="center"/>
            </w:pPr>
            <w:r>
              <w:rPr>
                <w:sz w:val="16"/>
              </w:rPr>
              <w:t>0.9479</w:t>
            </w:r>
          </w:p>
        </w:tc>
        <w:tc>
          <w:tcPr>
            <w:tcW w:type="dxa" w:w="988"/>
            <w:tcMar/>
          </w:tcPr>
          <w:p>
            <w:pPr>
              <w:jc w:val="center"/>
            </w:pPr>
            <w:r>
              <w:rPr>
                <w:sz w:val="16"/>
              </w:rPr>
              <w:t>221.5</w:t>
            </w:r>
          </w:p>
        </w:tc>
        <w:tc>
          <w:tcPr>
            <w:tcW w:type="dxa" w:w="988"/>
            <w:tcMar/>
          </w:tcPr>
          <w:p>
            <w:pPr>
              <w:jc w:val="center"/>
            </w:pPr>
            <w:r>
              <w:rPr>
                <w:sz w:val="16"/>
              </w:rPr>
              <w:t>5.1735</w:t>
            </w:r>
          </w:p>
        </w:tc>
        <w:tc>
          <w:tcPr>
            <w:tcW w:type="dxa" w:w="988"/>
            <w:tcMar/>
          </w:tcPr>
          <w:p>
            <w:pPr>
              <w:jc w:val="center"/>
            </w:pPr>
            <w:r>
              <w:rPr>
                <w:sz w:val="16"/>
              </w:rPr>
              <w:t>47095</w:t>
            </w:r>
          </w:p>
        </w:tc>
      </w:tr>
    </w:tbl>
    <w:p>
      <w:pPr/>
      <w:r/>
    </w:p>
    <w:p>
      <w:pPr>
        <w:jc w:val="center"/>
      </w:pPr>
      <w:r/>
    </w:p>
    <w:p>
      <w:pPr>
        <w:jc w:val="center"/>
      </w:pPr>
      <w:r/>
    </w:p>
    <w:p>
      <w:pPr/>
      <w:r/>
    </w:p>
    <w:p>
      <w:pPr/>
      <w:r/>
    </w:p>
    <w:p>
      <w:pPr/>
      <w:r/>
    </w:p>
    <w:p>
      <w:pPr/>
      <w:r/>
    </w:p>
    <w:p>
      <w:pPr/>
      <w:r/>
    </w:p>
    <w:p>
      <w:pPr/>
      <w:r/>
    </w:p>
    <w:p>
      <w:pPr/>
      <w:r/>
    </w:p>
    <w:p>
      <w:pPr/>
      <w:r/>
    </w:p>
    <w:p>
      <w:pPr>
        <w:pStyle w:val="heading1"/>
      </w:pPr>
      <w:r>
        <w:t>Discussion</w:t>
      </w:r>
    </w:p>
    <w:p>
      <w:pPr>
        <w:pStyle w:val="heading2"/>
      </w:pPr>
      <w:r>
        <w:t>Strengths and Capabilities</w:t>
      </w:r>
    </w:p>
    <w:p>
      <w:pPr>
        <w:pStyle w:val="p1a"/>
      </w:pPr>
      <w:r>
        <w:t>AetherQ demonstrates several unique strengths that distinguish it from existing approaches to AI-assisted quantum hardware development. First, the multi-agent architecture enables natural decomposition of the complex research pipeline into specialized sub-tasks, mirroring the organizational structure of real quantum hardware research teams. This modularity facilitates independent development and testing of individual agents, as well as easy extension to new capabilities. Second, the nine physics modules (M0-M8) encode deep domain knowledge that goes beyond what general-purpose LLMs can provide, enabling precise numerical computation and physics-informed reasoning. Third, the graceful degradation mechanism ensures robustness in real-world settings where tool failures are common, a critical requirement for deployment in active research environments.</w:t>
      </w:r>
    </w:p>
    <w:p>
      <w:pPr/>
      <w:r>
        <w:t>The experimental results reveal a clear advantage of specialized multi-agent orchestration over monolithic approaches for complex quantum hardware tasks. The 42% reduction in reasoning rounds (Experiment 1) demonstrates that domain-specific tool filtering substantially reduces the search space for tool selection, while the 84% routing accuracy (Experiment 2) shows that even a simple keyword-based mechanism can effectively dispatch most queries to the appropriate specialist. The remaining 16% of routing errors concentrate on inherently ambiguous cross-domain queries, suggesting that the performance ceiling for keyword-based routing has been approached and that learned routing models or collaborative multi-agent responses may be needed for further improvement.</w:t>
      </w:r>
    </w:p>
    <w:p>
      <w:pPr>
        <w:pStyle w:val="p1a"/>
      </w:pPr>
      <w:r>
        <w:t>The experimental validation on a 20-qubit chip demonstrates that AetherQ can perform tasks that currently require significant human expertise. The autonomous Hamiltonian construction (Experiment 1) replaces a process that typically requires a physicist to manually specify parameters and check constraints. The noise budget decomposition (Experiment 2) automates a complex analysis that requires knowledge of multiple decoherence mechanisms and their parameter dependencies. The anomaly diagnosis (Experiment 3) provides structured reasoning about hardware failures that would otherwise rely on the experimentalist's intuition and experience. The adaptive experiment planning (Experiment 4) optimizes resource allocation in a principled manner. The full-stack simulation (Experiment 5) orchestrates multiple simulation tools that are typically run independently by different team members. The pulse optimization and design proposal (Experiment 6) synthesize insights across the entire research pipeline.</w:t>
      </w:r>
    </w:p>
    <w:p>
      <w:pPr>
        <w:pStyle w:val="heading2"/>
      </w:pPr>
      <w:r>
        <w:t>Limitations and Future Directions</w:t>
      </w:r>
    </w:p>
    <w:p>
      <w:pPr>
        <w:pStyle w:val="p1a"/>
      </w:pPr>
      <w:r>
        <w:t>Despite its capabilities, AetherQ has several important limitations that point to directions for future research. First, the system currently operates on simulated or pre-characterized data rather than directly controlling experimental hardware. Closing the loop between AI-generated experiment plans and physical measurements requires integration with laboratory control systems, which raises challenges related to safety, real-time constraints, and error handling. Second, the physics modules encode current best-practice models that may not capture all relevant phenomena, particularly for novel qubit designs or exotic noise mechanisms. Incorporating mechanisms for the system to identify and flag situations where its models may be inadequate is an important area for improvement. Third, the LLM backbone introduces inherent limitations in numerical precision and reasoning reliability, particularly for complex mathematical derivations. While the structured tool-call protocol mitigates this by delegating numerical computation to specialized modules, the system's reasoning about when and how to invoke these modules still depends on the LLM's capabilities.</w:t>
      </w:r>
    </w:p>
    <w:p>
      <w:pPr>
        <w:pStyle w:val="p1a"/>
      </w:pPr>
      <w:r>
        <w:t>Future development of AetherQ will focus on several key areas. Hardware integration through standardized APIs (such as QCoDeS and Labber) will enable direct experimental control. Expanding the physics module library to support additional qubit types (fluxonium, bosonic codes) and architectures (2D grids, heavy-hex) will broaden the system's applicability. Implementing active learning strategies for simulation-based design optimization will reduce the number of expensive electromagnetic simulations required. Developing formal verification methods to validate the physical consistency of agent outputs will increase trust in autonomous operation. Finally, incorporating human-in-the-loop interaction modes will enable seamless collaboration between AI agents and human researchers, combining the strengths of both.</w:t>
      </w:r>
    </w:p>
    <w:p>
      <w:pPr/>
      <w:r>
        <w:t>A particularly promising direction is the integration of formal verification methods for AI-generated quantum device designs. While the current system provides physics-structured guardrails through the theoretical physicist's module architecture, it does not formally guarantee that generated designs satisfy all specifications. Future work could incorporate constraint checking modules that verify frequency collision avoidance, minimum coupling strengths, and fabrication rule compliance before committing to GDS export. Additionally, the conversation pipeline protocol naturally supports retrospective analysis of agent decision-making, enabling systematic identification of failure modes and targeted improvement of individual agent capabilities.</w:t>
      </w:r>
    </w:p>
    <w:p>
      <w:pPr>
        <w:pStyle w:val="heading2"/>
      </w:pPr>
      <w:r>
        <w:t>Comparison with Existing Approaches</w:t>
      </w:r>
    </w:p>
    <w:p>
      <w:pPr>
        <w:pStyle w:val="p1a"/>
      </w:pPr>
      <w:r>
        <w:t>Compared to existing AI approaches for quantum computing, AetherQ occupies a unique position in the landscape. Narrow machine learning approaches, such as neural network decoders [36,37] or reinforcement learning calibration agents [38,39], excel at their specific tasks but cannot generalize across the research pipeline. EDA tools like Qiskit Metal [46] and KQCircuits [45] provide excellent design capabilities but lack the scientific reasoning needed for diagnosis and experiment planning. General-purpose LLM agents [23,33] offer broad reasoning capabilities but lack the domain-specific knowledge and tool integration needed for quantum hardware research. AetherQ uniquely combines all three aspects, broad LLM reasoning, domain-specific physics modules, and comprehensive tool integration, within a coherent multi-agent framework. The key insight is that quantum chip research requires not just individual capabilities but the ability to coordinate across diverse sub-tasks, precisely the strength of the multi-agent paradigm.</w:t>
      </w:r>
    </w:p>
    <w:p>
      <w:pPr>
        <w:pStyle w:val="heading2"/>
      </w:pPr>
      <w:r>
        <w:t>Broader Impact and Societal Considerations</w:t>
      </w:r>
    </w:p>
    <w:p>
      <w:pPr>
        <w:pStyle w:val="p1a"/>
      </w:pPr>
      <w:r>
        <w:t>The development of AI-assisted quantum hardware design raises several broader considerations. On the positive side, systems like AetherQ have the potential to democratize access to quantum chip design expertise, enabling smaller research groups and emerging quantum computing programs to iterate on chip designs more efficiently. The structured knowledge base and diagnostic capabilities can serve as an educational tool, helping junior researchers understand the complex relationships between design parameters, fabrication processes, and device performance. The transparent action trace logging ensures that AI-generated recommendations can be reviewed, validated, and learned from by human experts.</w:t>
      </w:r>
    </w:p>
    <w:p>
      <w:pPr/>
      <w:r>
        <w:t>At the same time, caution is warranted regarding the reliability of AI-generated design recommendations. While the physics-structured modules provide guardrails against physically unreasonable suggestions, the ultimate responsibility for design decisions must remain with human engineers who understand the full context of fabrication constraints, safety requirements, and project objectives. The graceful degradation mechanism, while ensuring system availability, also means that recommendations may sometimes be based on analytical approximations rather than full electromagnetic simulations, and users must be aware of the confidence level associated with each output. Future work should explore formal verification methods for AI-generated quantum device designs, ensuring that critical specifications are provably satisfied before committing to fabrication.</w:t>
      </w:r>
    </w:p>
    <w:p>
      <w:pPr>
        <w:pStyle w:val="heading1"/>
      </w:pPr>
      <w:r>
        <w:t>Conclusion</w:t>
      </w:r>
    </w:p>
    <w:p>
      <w:pPr>
        <w:pStyle w:val="p1a"/>
      </w:pPr>
      <w:r>
        <w:t>We have presented AetherQ, a multi-agent AI system for autonomous superconducting quantum chip research. AetherQ orchestrates twelve specialized LLM agents through a hierarchical architecture with nine physics modules (M0-M8) covering the complete research pipeline from Hamiltonian construction to GDS layout generation. Through comprehensive experiments on a 20-qubit transmon chip with tunable couplers, we have demonstrated autonomous Hamiltonian construction for 20 qubits and 19 couplers with frequency collision detection, noise budget decomposition identifying dielectric loss and TLS defects as dominant T1 limiters, multi-hypothesis anomaly diagnosis across four failure modes with structured verification paths, adaptive experiment planning under budget constraints, full-stack electromagnetic simulation (Q3D, LOM, EPR, eigenmode), and gate pulse optimization achieving 99.925% single-qubit and 99.84% two-qubit predicted fidelities.</w:t>
      </w:r>
    </w:p>
    <w:p>
      <w:pPr>
        <w:pStyle w:val="p1a"/>
      </w:pPr>
      <w:r>
        <w:t>AetherQ represents a new paradigm for AI-accelerated quantum hardware development, where LLM-based scientific reasoning is tightly integrated with domain-specific computation and experimental design. As quantum processors continue to scale to hundreds and thousands of qubits, the complexity of the research cycle will only increase, making AI-assisted automation increasingly essential. We believe that systems like AetherQ, which combine the broad reasoning capabilities of LLMs with the precision of physics-informed computation modules, will play a critical role in accelerating the path toward practical quantum computing. Future work will focus on hardware integration for closed-loop autonomous experimentation, extension to diverse qubit platforms, and formal verification of AI-generated designs.</w:t>
      </w:r>
    </w:p>
    <w:p>
      <w:pPr/>
      <w:r>
        <w:t>Looking beyond the immediate technical contributions, this work suggests a broader principle for AI-assisted scientific research: that complex R&amp;D workflows spanning multiple expertise domains are best served by ensembles of specialized agents coordinated through structured protocols, rather than by increasingly large monolithic models. The success of keyword-based routing at 84% accuracy, despite its simplicity, indicates that domain boundaries in quantum chip R&amp;D are sufficiently well-defined to support effective task decomposition. The remaining challenges lie not in routing per se but in handling inherently cross-domain tasks that require multiple agents to contribute complementary perspectives. Future systems should explore collaborative resolution mechanisms where routing ambiguity triggers multi-agent deliberation rather than forcing a single-agent assignment.</w:t>
      </w:r>
    </w:p>
    <w:p>
      <w:pPr>
        <w:pStyle w:val="heading1"/>
      </w:pPr>
      <w:r>
        <w:t>Acknowledgments</w:t>
      </w:r>
    </w:p>
    <w:p>
      <w:pPr>
        <w:pStyle w:val="acknowlegments"/>
      </w:pPr>
      <w:r>
        <w:t>This work was supported by the National Key Research and Development Program of China (Grant No. 2021YFA1400100), the National Natural Science Foundation of China (Grant Nos. 12174370, 12274404), and the Chinese Academy of Sciences Strategic Priority Research Program (Grant No. XDB28000000). The authors thank the members of the quantum chip fabrication team for providing the experimental data used in this study, and the anonymous reviewers for their constructive feedback.</w:t>
      </w:r>
    </w:p>
    <w:p>
      <w:pPr>
        <w:pStyle w:val="heading1"/>
      </w:pPr>
      <w:r>
        <w:t>References</w:t>
      </w:r>
    </w:p>
    <w:p>
      <w:pPr>
        <w:pStyle w:val="referenceitem"/>
      </w:pPr>
      <w:r>
        <w:t>Kjaergaard, M., Schwartz, M.E., Braumuller, J., et al. Superconducting qubits: Current state of play[J]. Annual Review of Condensed Matter Physics, 2020, 11: 369-395.</w:t>
      </w:r>
    </w:p>
    <w:p>
      <w:pPr>
        <w:pStyle w:val="referenceitem"/>
      </w:pPr>
      <w:r>
        <w:t>Krantz, P., Kjaergaard, M., Yan, F., et al. A quantum engineer's guide to superconducting qubits[J]. Applied Physics Reviews, 2019, 6(2): 021318.</w:t>
      </w:r>
    </w:p>
    <w:p>
      <w:pPr>
        <w:pStyle w:val="referenceitem"/>
      </w:pPr>
      <w:r>
        <w:t>Koch, J., Yu, T.M., Gambetta, J., et al. Charge-insensitive qubit design derived from the Cooper pair box[J]. Physical Review A, 2007, 76(4): 042319.</w:t>
      </w:r>
    </w:p>
    <w:p>
      <w:pPr>
        <w:pStyle w:val="referenceitem"/>
      </w:pPr>
      <w:r>
        <w:t>Google Quantum AI. Suppressing quantum errors by scaling a surface code logical qubit[J]. Nature, 2023, 614: 676-681.</w:t>
      </w:r>
    </w:p>
    <w:p>
      <w:pPr>
        <w:pStyle w:val="referenceitem"/>
      </w:pPr>
      <w:r>
        <w:t>Arute, F., Arya, K., Babbush, R., et al. Quantum supremacy using a programmable superconducting processor[J]. Nature, 2019, 574: 505-510.</w:t>
      </w:r>
    </w:p>
    <w:p>
      <w:pPr>
        <w:pStyle w:val="referenceitem"/>
      </w:pPr>
      <w:r>
        <w:t>Kim, Y., Eddins, A., Anand, S., et al. Evidence for the utility of quantum computing before fault tolerance[J]. Nature, 2023, 618: 500-505.</w:t>
      </w:r>
    </w:p>
    <w:p>
      <w:pPr>
        <w:pStyle w:val="referenceitem"/>
      </w:pPr>
      <w:r>
        <w:t>IBM Quantum. IBM Quantum Development Roadmap[J]. IBM Research Blog, 2023.</w:t>
      </w:r>
    </w:p>
    <w:p>
      <w:pPr>
        <w:pStyle w:val="referenceitem"/>
      </w:pPr>
      <w:r>
        <w:t>Gambetta, J.M., Chow, J.M., Steffen, M. Building logical qubits in a superconducting quantum computing system[J]. npj Quantum Information, 2017, 3: 2.</w:t>
      </w:r>
    </w:p>
    <w:p>
      <w:pPr>
        <w:pStyle w:val="referenceitem"/>
      </w:pPr>
      <w:r>
        <w:t>Brink, M., Chow, J.M., Hertzberg, J., et al. Device challenges for near-term superconducting quantum processors: frequency collisions[C]. IEEE International Electron Devices Meeting, 2018: 6.1.1-6.1.4.</w:t>
      </w:r>
    </w:p>
    <w:p>
      <w:pPr>
        <w:pStyle w:val="referenceitem"/>
      </w:pPr>
      <w:r>
        <w:t>Hertzberg, J.B., Zhang, E.J., Rosenblatt, S., et al. Laser-annealing Josephson junctions for yielding scaled-up superconducting quantum processors[J]. npj Quantum Information, 2021, 7: 129.</w:t>
      </w:r>
    </w:p>
    <w:p>
      <w:pPr>
        <w:pStyle w:val="referenceitem"/>
      </w:pPr>
      <w:r>
        <w:t>Minev, Z.K., Leghtas, Z., Mundhada, S.O., et al. Energy-participation quantization of Josephson circuits[J]. npj Quantum Information, 2021, 7: 131.</w:t>
      </w:r>
    </w:p>
    <w:p>
      <w:pPr>
        <w:pStyle w:val="referenceitem"/>
      </w:pPr>
      <w:r>
        <w:t>Solgun, F., Abraham, D.W., DiVincenzo, D.P. Blackbox quantization of superconducting circuits using exact impedance synthesis[J]. Physical Review B, 2014, 90: 134504.</w:t>
      </w:r>
    </w:p>
    <w:p>
      <w:pPr>
        <w:pStyle w:val="referenceitem"/>
      </w:pPr>
      <w:r>
        <w:t>Sheldon, S., Magesan, E., Chow, J.M., et al. Procedure for systematically tuning up cross-talk in the cross-resonance gate[J]. Physical Review A, 2016, 93: 060302.</w:t>
      </w:r>
    </w:p>
    <w:p>
      <w:pPr>
        <w:pStyle w:val="referenceitem"/>
      </w:pPr>
      <w:r>
        <w:t>Knill, E., Leibfried, D., Reichle, R., et al. Randomized benchmarking of quantum gates[J]. Physical Review A, 2008, 77: 012307.</w:t>
      </w:r>
    </w:p>
    <w:p>
      <w:pPr>
        <w:pStyle w:val="referenceitem"/>
      </w:pPr>
      <w:r>
        <w:t>Muller, C., Cole, J.H., Lisenfeld, J. Towards understanding two-level-systems in amorphous solids: insights from quantum circuits[J]. Reports on Progress in Physics, 2019, 82: 124501.</w:t>
      </w:r>
    </w:p>
    <w:p>
      <w:pPr>
        <w:pStyle w:val="referenceitem"/>
      </w:pPr>
      <w:r>
        <w:t>Schlor, S., Lisenfeld, J., Muller, C., et al. Correlating decoherence in transmon qubits: low frequency noise by single fluctuators[J]. Physical Review Letters, 2019, 123: 190502.</w:t>
      </w:r>
    </w:p>
    <w:p>
      <w:pPr>
        <w:pStyle w:val="referenceitem"/>
      </w:pPr>
      <w:r>
        <w:t>OpenAI. GPT-4 technical report[J]. arXiv preprint arXiv:2303.08774, 2023.</w:t>
      </w:r>
    </w:p>
    <w:p>
      <w:pPr>
        <w:pStyle w:val="referenceitem"/>
      </w:pPr>
      <w:r>
        <w:t>Anthropic. Claude 3 technical report[J]. Anthropic Research, 2024.</w:t>
      </w:r>
    </w:p>
    <w:p>
      <w:pPr>
        <w:pStyle w:val="referenceitem"/>
      </w:pPr>
      <w:r>
        <w:t>Romera-Paredes, B., Barekatain, M., Novikov, A., et al. Mathematical discoveries from program search with large language models[J]. Nature, 2024, 625: 468-475.</w:t>
      </w:r>
    </w:p>
    <w:p>
      <w:pPr>
        <w:pStyle w:val="referenceitem"/>
      </w:pPr>
      <w:r>
        <w:t>Boiko, D.A., MacKnight, R., Kline, B., et al. Autonomous chemical research with large language models[J]. Nature, 2023, 624: 570-578.</w:t>
      </w:r>
    </w:p>
    <w:p>
      <w:pPr>
        <w:pStyle w:val="referenceitem"/>
      </w:pPr>
      <w:r>
        <w:t>Wang, L., Ma, C., Feng, X., et al. A survey on large language model based autonomous agents[J]. Frontiers of Computer Science, 2024, 18(6): 186345.</w:t>
      </w:r>
    </w:p>
    <w:p>
      <w:pPr>
        <w:pStyle w:val="referenceitem"/>
      </w:pPr>
      <w:r>
        <w:t>Xi, Z., Chen, W., Guo, X., et al. The rise and potential of large language model based agents: a survey[J]. arXiv preprint arXiv:2309.07864, 2023.</w:t>
      </w:r>
    </w:p>
    <w:p>
      <w:pPr>
        <w:pStyle w:val="referenceitem"/>
      </w:pPr>
      <w:r>
        <w:t>Wu, Q., Bansal, G., Zhang, J., et al. AutoGen: Enabling next-gen LLM applications via multi-agent conversation[J]. arXiv preprint arXiv:2308.08155, 2023.</w:t>
      </w:r>
    </w:p>
    <w:p>
      <w:pPr>
        <w:pStyle w:val="referenceitem"/>
      </w:pPr>
      <w:r>
        <w:t>Park, J.S., O'Brien, J.C., Cai, C.J., et al. Generative agents: Interactive simulacra of human behavior[C]. UIST 2023: 1-22.</w:t>
      </w:r>
    </w:p>
    <w:p>
      <w:pPr>
        <w:pStyle w:val="referenceitem"/>
      </w:pPr>
      <w:r>
        <w:t>Fosel, T., Krastanov, S., Marquardt, F., et al. Quantum circuit optimization with deep reinforcement learning[J]. arXiv preprint arXiv:2103.07585, 2021.</w:t>
      </w:r>
    </w:p>
    <w:p>
      <w:pPr>
        <w:pStyle w:val="referenceitem"/>
      </w:pPr>
      <w:r>
        <w:t>Temme, K., Bravyi, S., Gambetta, J.M. Error mitigation for short-depth quantum circuits[J]. Physical Review Letters, 2017, 119: 180509.</w:t>
      </w:r>
    </w:p>
    <w:p>
      <w:pPr>
        <w:pStyle w:val="referenceitem"/>
      </w:pPr>
      <w:r>
        <w:t>Cerezo, M., Arrasmith, A., Babbush, R., et al. Variational quantum algorithms[J]. Nature Reviews Physics, 2021, 3: 625-644.</w:t>
      </w:r>
    </w:p>
    <w:p>
      <w:pPr>
        <w:pStyle w:val="referenceitem"/>
      </w:pPr>
      <w:r>
        <w:t>Schick, T., Dwivedi-Yu, J., Dessi, R., et al. Toolformer: Language models can teach themselves to use tools[J]. Advances in Neural Information Processing Systems, 2023, 36.</w:t>
      </w:r>
    </w:p>
    <w:p>
      <w:pPr>
        <w:pStyle w:val="referenceitem"/>
      </w:pPr>
      <w:r>
        <w:t>Bran, A.M., Cox, S., Schilter, O., et al. ChemCrow: Augmenting large-language models with chemistry tools[J]. Nature Machine Intelligence, 2024, 6: 525-535.</w:t>
      </w:r>
    </w:p>
    <w:p>
      <w:pPr>
        <w:pStyle w:val="referenceitem"/>
      </w:pPr>
      <w:r>
        <w:t>Boiko, D.A., MacKnight, R., Gomes, G. Emergent autonomous scientific research capabilities of large language models[J]. arXiv preprint arXiv:2304.05332, 2023.</w:t>
      </w:r>
    </w:p>
    <w:p>
      <w:pPr>
        <w:pStyle w:val="referenceitem"/>
      </w:pPr>
      <w:r>
        <w:t>Tang, X., Zou, A., Zhang, Z., et al. SciAgent: Tool-augmented language models for scientific reasoning[J]. arXiv preprint arXiv:2402.11451, 2024.</w:t>
      </w:r>
    </w:p>
    <w:p>
      <w:pPr>
        <w:pStyle w:val="referenceitem"/>
      </w:pPr>
      <w:r>
        <w:t>Huang, Q., Tao, J., An, Z., et al. ResearchAgent: Iterative research idea generation over scientific literature with large language models[J]. arXiv preprint arXiv:2404.07738, 2024.</w:t>
      </w:r>
    </w:p>
    <w:p>
      <w:pPr>
        <w:pStyle w:val="referenceitem"/>
      </w:pPr>
      <w:r>
        <w:t>Hong, S., Zhuge, M., Chen, J., et al. MetaGPT: Meta programming for a multi-agent collaborative framework[J]. arXiv preprint arXiv:2308.00352, 2023.</w:t>
      </w:r>
    </w:p>
    <w:p>
      <w:pPr>
        <w:pStyle w:val="referenceitem"/>
      </w:pPr>
      <w:r>
        <w:t>Li, G., Hammoud, H.A.A.K., Itani, H., et al. CAMEL: Communicative agents for mind exploration of large language model society[J]. Advances in Neural Information Processing Systems, 2023, 36.</w:t>
      </w:r>
    </w:p>
    <w:p>
      <w:pPr>
        <w:pStyle w:val="referenceitem"/>
      </w:pPr>
      <w:r>
        <w:t>Torlai, G., Mazzola, G., Carrasquilla, J., et al. Neural-network quantum state tomography[J]. Nature Physics, 2018, 14: 447-450.</w:t>
      </w:r>
    </w:p>
    <w:p>
      <w:pPr>
        <w:pStyle w:val="referenceitem"/>
      </w:pPr>
      <w:r>
        <w:t>Baireuther, P., O'Brien, T.E., Tarasinski, B., et al. Machine-learning-assisted correction of correlated qubit errors in a topological code[J]. Quantum, 2018, 2: 48.</w:t>
      </w:r>
    </w:p>
    <w:p>
      <w:pPr>
        <w:pStyle w:val="referenceitem"/>
      </w:pPr>
      <w:r>
        <w:t>Chamberland, C., Ronagh, P. Deep neural decoders for near term fault-tolerant experiments[J]. Quantum Science and Technology, 2018, 3: 044002.</w:t>
      </w:r>
    </w:p>
    <w:p>
      <w:pPr>
        <w:pStyle w:val="referenceitem"/>
      </w:pPr>
      <w:r>
        <w:t>Baum, Y., Amico, M., Howell, S., et al. Experimental deep reinforcement learning for error-robust gate-set design on a superconducting quantum computer[J]. PRX Quantum, 2021, 2: 040324.</w:t>
      </w:r>
    </w:p>
    <w:p>
      <w:pPr>
        <w:pStyle w:val="referenceitem"/>
      </w:pPr>
      <w:r>
        <w:t>Sivak, V.B., Eickbusch, A., Liu, H., et al. Model-free quantum control with reinforcement learning[J]. Physical Review X, 2022, 12: 011059.</w:t>
      </w:r>
    </w:p>
    <w:p>
      <w:pPr>
        <w:pStyle w:val="referenceitem"/>
      </w:pPr>
      <w:r>
        <w:t>Swiadek, F., Shillito, R., Corne, P., et al. Enhancing dispersive readout of superconducting qubits through dynamic control[J]. arXiv preprint arXiv:2307.07765, 2023.</w:t>
      </w:r>
    </w:p>
    <w:p>
      <w:pPr>
        <w:pStyle w:val="referenceitem"/>
      </w:pPr>
      <w:r>
        <w:t>Zhang, H., Shao, S., Salahuddin, S., et al. Neural network surrogate models for superconducting quantum circuit simulation[J]. IEEE Transactions on Microwave Theory and Techniques, 2023, 71(8): 3488-3498.</w:t>
      </w:r>
    </w:p>
    <w:p>
      <w:pPr>
        <w:pStyle w:val="referenceitem"/>
      </w:pPr>
      <w:r>
        <w:t>Zhu, E., Zhu, Q., Zhou, Y., et al. Machine learning aided design of superconducting quantum circuits[J]. arXiv preprint arXiv:2306.09893, 2023.</w:t>
      </w:r>
    </w:p>
    <w:p>
      <w:pPr>
        <w:pStyle w:val="referenceitem"/>
      </w:pPr>
      <w:r>
        <w:t>Liu, J., Hu, W., Zhong, J., et al. Quantum circuit generation using large language models[J]. arXiv preprint arXiv:2311.01901, 2023.</w:t>
      </w:r>
    </w:p>
    <w:p>
      <w:pPr>
        <w:pStyle w:val="referenceitem"/>
      </w:pPr>
      <w:r>
        <w:t>Patel, T., Gokhale, P., Friedman, R., et al. QDAGS: Quantum circuit analysis using LLMs and graph neural networks[J]. arXiv preprint arXiv:2312.09876, 2023.</w:t>
      </w:r>
    </w:p>
    <w:p>
      <w:pPr>
        <w:pStyle w:val="referenceitem"/>
      </w:pPr>
      <w:r>
        <w:t>IQM Finland. KQCircuits: Klayout extension for superconducting quantum circuit design[J]. GitHub repository, 2022.</w:t>
      </w:r>
    </w:p>
    <w:p>
      <w:pPr>
        <w:pStyle w:val="referenceitem"/>
      </w:pPr>
      <w:r>
        <w:t>Zlatko K. Minev et al. Qiskit Metal: An open-source framework for quantum device design and analysis[J]. IBM Quantum, 2021.</w:t>
      </w:r>
    </w:p>
    <w:p>
      <w:pPr>
        <w:pStyle w:val="referenceitem"/>
      </w:pPr>
      <w:r>
        <w:t>Sete, E.A., Chen, Z., Ding, S., et al. SQDMetal: A modular Python library for designing superconducting quantum devices[J]. arXiv preprint arXiv:2401.02857, 2024.</w:t>
      </w:r>
    </w:p>
    <w:p>
      <w:pPr>
        <w:pStyle w:val="referenceitem"/>
      </w:pPr>
      <w:r>
        <w:t>Ansys Inc. Ansys HFSS: High-frequency structure simulator[J]. Ansys Documentation, 2023.</w:t>
      </w:r>
    </w:p>
    <w:p>
      <w:pPr>
        <w:pStyle w:val="referenceitem"/>
      </w:pPr>
      <w:r>
        <w:t>Motzoi, F., Gambetta, J.M., Merkel, S.T., et al. Optimal control methods for rapidly time-varying Hamiltonians[J]. Physical Review A, 2011, 84: 022307.</w:t>
      </w:r>
    </w:p>
    <w:p>
      <w:pPr>
        <w:pStyle w:val="referenceitem"/>
      </w:pPr>
      <w:r>
        <w:t>Lindley, D.V. On a measure of the information provided by an experiment[J]. Annals of Mathematical Statistics, 1956, 27: 986-1005.</w:t>
      </w:r>
    </w:p>
    <w:p>
      <w:pPr>
        <w:pStyle w:val="referenceitem"/>
      </w:pPr>
      <w:r>
        <w:t>Sank, D., Chen, Z., Khezri, M., et al. Measurement-induced state transitions in a superconducting qubit: beyond the rotating wave approximation[J]. Physical Review Letters, 2016, 117: 190503.</w:t>
      </w:r>
    </w:p>
    <w:p>
      <w:pPr>
        <w:pStyle w:val="referenceitem"/>
      </w:pPr>
      <w:r>
        <w:t>Martinis, J.M., Geller, M.R. Fast adiabatic qubit gates using only sigma_z control[J]. Physical Review A, 2014, 90: 022307.</w:t>
      </w:r>
    </w:p>
    <w:p>
      <w:pPr>
        <w:pStyle w:val="referenceitem"/>
      </w:pPr>
      <w:r>
        <w:t>Barends, R., Kelly, J., Megrant, A., et al. Superconducting quantum circuits at the surface code threshold for fault tolerance[J]. Nature, 2014, 508: 500-503.</w:t>
      </w:r>
    </w:p>
    <w:p>
      <w:pPr>
        <w:pStyle w:val="referenceitem"/>
      </w:pPr>
      <w:r>
        <w:t>Place, A.P.M., Rodgers, L.V.H., Mundada, P., et al. New material platform for superconducting transmon qubits with coherence times exceeding 0.3 milliseconds[J]. Nature Communications, 2021, 12: 1779.</w:t>
      </w:r>
    </w:p>
    <w:p>
      <w:pPr>
        <w:pStyle w:val="referenceitem"/>
      </w:pPr>
      <w:r>
        <w:t>Wang, C., Li, X., Xu, H., et al. Towards practical quantum advantage with near-term quantum computing[J]. Nature Communications, 2023, 14: 2145.</w:t>
      </w:r>
    </w:p>
    <w:p>
      <w:pPr>
        <w:pStyle w:val="referenceitem"/>
      </w:pPr>
      <w:r>
        <w:t>Sung, Y., Ding, L., Braumueller, J., et al. Realization of high-fidelity CZ and ZZ-free iSWAP gates with a tunable coupler[J]. Physical Review X, 2021, 11: 021058.</w:t>
      </w:r>
    </w:p>
    <w:p>
      <w:pPr>
        <w:pStyle w:val="referenceitem"/>
      </w:pPr>
      <w:r>
        <w:t>Wu, F., Guo, J., Xia, T., et al. Quantum Design Automation: Foundations, Challenges, and the Road Ahead[A]. arXiv:2511.10479, 2025.</w:t>
      </w:r>
    </w:p>
    <w:p>
      <w:pPr>
        <w:pStyle w:val="referenceitem"/>
      </w:pPr>
      <w:r>
        <w:t>Ostrander, A., Chitta, S.P., Ganzhorn, M., et al. Automated, physics-guided, multi-parameter design optimization for superconducting quantum devices[A]. arXiv:2508.18027, 2025.</w:t>
      </w:r>
    </w:p>
    <w:p>
      <w:pPr>
        <w:pStyle w:val="referenceitem"/>
      </w:pPr>
      <w:r>
        <w:t>Li, Z., Wang, Z., Zhang, F., et al. Scalable parameter design for superconducting quantum circuits with graph neural networks[A]. arXiv:2411.16354, 2024.</w:t>
      </w:r>
    </w:p>
    <w:p>
      <w:pPr>
        <w:pStyle w:val="referenceitem"/>
      </w:pPr>
      <w:r>
        <w:t>Li, Y., Chen, X., Zhang, H., et al. Large language model-assisted superconducting qubit experiments[A]. arXiv:2603.08801, 2026.</w:t>
      </w:r>
    </w:p>
    <w:p>
      <w:pPr>
        <w:pStyle w:val="referenceitem"/>
      </w:pPr>
      <w:r>
        <w:t>Kumar, S., Patel, R., Chen, M., et al. QUASAR: Quantum assembly code generation using tool-augmented LLMs via agentic RL[A]. arXiv:2510.00967, 2025.</w:t>
      </w:r>
    </w:p>
    <w:p>
      <w:pPr>
        <w:pStyle w:val="referenceitem"/>
      </w:pPr>
      <w:r>
        <w:t>Sivak, V.B., Eickbusch, A., Khezri, M., et al. Reinforcement learning control of quantum error correction[A]. arXiv:2511.08493, 2025.</w:t>
      </w:r>
    </w:p>
    <w:p>
      <w:pPr>
        <w:pStyle w:val="referenceitem"/>
      </w:pPr>
      <w:r>
        <w:t>Zhang, Y., Wang, L., Chen, J., et al. From AI for Science to Agentic Science: A survey on autonomous scientific discovery[A]. arXiv:2508.14111, 2025.</w:t>
      </w:r>
    </w:p>
    <w:p>
      <w:pPr>
        <w:pStyle w:val="referenceitem"/>
      </w:pPr>
      <w:r>
        <w:t>Liu, X., Wei, Q., Chen, Z., et al. SciAgent: A unified multi-agent system for generalistic scientific reasoning[A]. arXiv:2511.08151, 2025.</w:t>
      </w:r>
    </w:p>
    <w:p>
      <w:pPr>
        <w:pStyle w:val="referenceitem"/>
      </w:pPr>
      <w:r>
        <w:t>Zou, Y., Cheng, A.H., Aldossary, A., et al. El Agente: An autonomous agent for quantum chemistry[A]. arXiv:2505.02484, 2025.</w:t>
      </w:r>
    </w:p>
    <w:p>
      <w:pPr>
        <w:pStyle w:val="referenceitem"/>
      </w:pPr>
      <w:r>
        <w:t>Gustin, I., Mantilla Calderon, L., Perez-Sanchez, J.B., et al. El Agente Cuantico: Automating quantum simulations[A]. arXiv:2512.18847, 2025.</w:t>
      </w:r>
    </w:p>
    <w:p>
      <w:pPr>
        <w:pStyle w:val="referenceitem"/>
      </w:pPr>
      <w:r>
        <w:t>Lu, C., Lu, C., Lange, R.T., et al. The AI Scientist: Towards fully automated open-ended scientific discovery[A]. arXiv:2408.06292, 2024.</w:t>
      </w:r>
    </w:p>
    <w:p>
      <w:pPr>
        <w:pStyle w:val="referenceitem"/>
      </w:pPr>
      <w:r>
        <w:t>Lala, J., O'Donoghue, O., Zamfirescu-Pereira, A., et al. PaperQA: Retrieval-augmented generative agent for scientific research[A]. arXiv:2312.07559, 2023.</w:t>
      </w:r>
    </w:p>
    <w:p>
      <w:pPr>
        <w:pStyle w:val="referenceitem"/>
      </w:pPr>
      <w:r>
        <w:t>Yao, S., Zhao, J., Yu, D., et al. ReAct: Synergizing reasoning and acting in language models[C]//ICLR 2023.</w:t>
      </w:r>
    </w:p>
    <w:p>
      <w:pPr>
        <w:pStyle w:val="referenceitem"/>
      </w:pPr>
      <w:r>
        <w:t>Bylander, J., Gustavsson, S., Yan, F., et al. Noise spectroscopy through dynamical decoupling with a superconducting flux qubit[J]. Nature Physics, 2011, 7: 565-570.</w:t>
      </w:r>
    </w:p>
    <w:p>
      <w:pPr>
        <w:pStyle w:val="referenceitem"/>
      </w:pPr>
      <w:r>
        <w:t>Wang, C., Li, X., Xu, H., et al. Towards practical quantum advantage with noise-intermediate scale superconducting quantum computing[J]. Science Bulletin, 2022, 67: 240-245.</w:t>
      </w:r>
    </w:p>
    <w:sectPr w:rsidR="00F5783C" w:rsidRPr="00606587" w:rsidSect="009F7FCE">
      <w:headerReference w:type="even" r:id="rId11"/>
      <w:headerReference w:type="default" r:id="rId12"/>
      <w:footerReference w:type="even" r:id="rId13"/>
      <w:footerReference w:type="default" r:id="rId14"/>
      <w:headerReference w:type="first" r:id="rId15"/>
      <w:footerReference w:type="first" r:id="rId16"/>
      <w:pgSz w:w="11906" w:h="16838" w:code="9"/>
      <w:pgMar w:top="2948" w:right="2494" w:bottom="2948" w:left="2494" w:header="2381" w:footer="2324" w:gutter="0"/>
      <w:cols w:space="227"/>
      <w:titlePg/>
      <w:docGrid w:linePitch="24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9F7FCE" w:rsidRDefault="009F7FCE">
      <w:r>
        <w:separator/>
      </w:r>
    </w:p>
  </w:endnote>
  <w:endnote w:type="continuationSeparator" w:id="0">
    <w:p w:rsidR="009F7FCE" w:rsidRDefault="009F7F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w:altName w:val="Courier New"/>
    <w:panose1 w:val="02070409020205020404"/>
    <w:charset w:val="00"/>
    <w:family w:val="modern"/>
    <w:notTrueType/>
    <w:pitch w:val="fixed"/>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5682A" w:rsidRDefault="0095682A">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5682A" w:rsidRDefault="0095682A">
    <w:pPr>
      <w:pStyle w:val="Fuzeil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5682A" w:rsidRDefault="0095682A">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9F7FCE" w:rsidRDefault="009F7FCE" w:rsidP="009F7FCE">
      <w:pPr>
        <w:ind w:firstLine="0"/>
      </w:pPr>
      <w:r>
        <w:separator/>
      </w:r>
    </w:p>
  </w:footnote>
  <w:footnote w:type="continuationSeparator" w:id="0">
    <w:p w:rsidR="009F7FCE" w:rsidRDefault="009F7FCE" w:rsidP="009F7FCE">
      <w:pPr>
        <w:ind w:firstLin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B2539" w:rsidRDefault="009B2539" w:rsidP="00090B89">
    <w:pPr>
      <w:pStyle w:val="runningheadleft"/>
    </w:pPr>
    <w:r>
      <w:fldChar w:fldCharType="begin"/>
    </w:r>
    <w:r>
      <w:instrText>PAGE   \* MERGEFORMAT</w:instrText>
    </w:r>
    <w:r>
      <w:fldChar w:fldCharType="separate"/>
    </w:r>
    <w:r w:rsidR="00B23481" w:rsidRPr="00B23481">
      <w:rPr>
        <w:noProof/>
      </w:rPr>
      <w:t>2</w:t>
    </w:r>
    <w:r>
      <w:fldChar w:fldCharType="end"/>
    </w:r>
    <w:r w:rsidR="00090B89">
      <w:t xml:space="preserve"> </w:t>
    </w:r>
    <w:r w:rsidR="00090B89">
      <w:tab/>
      <w:t>F. Author and S. Author</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90B89" w:rsidRPr="00090B89" w:rsidRDefault="00090B89" w:rsidP="00090B89">
    <w:pPr>
      <w:pStyle w:val="runningheadright"/>
    </w:pPr>
    <w:r>
      <w:tab/>
    </w:r>
    <w:r w:rsidRPr="00090B89">
      <w:t>Contribution Title (shortened if too long) </w:t>
    </w:r>
    <w:r>
      <w:tab/>
    </w:r>
    <w:r>
      <w:fldChar w:fldCharType="begin"/>
    </w:r>
    <w:r>
      <w:instrText>PAGE   \* MERGEFORMAT</w:instrText>
    </w:r>
    <w:r>
      <w:fldChar w:fldCharType="separate"/>
    </w:r>
    <w:r>
      <w:t>2</w:t>
    </w:r>
    <w: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90B89" w:rsidRDefault="00090B89" w:rsidP="00090B8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F397F84"/>
    <w:multiLevelType w:val="multilevel"/>
    <w:tmpl w:val="77162394"/>
    <w:styleLink w:val="itemization1"/>
    <w:lvl w:ilvl="0">
      <w:start w:val="1"/>
      <w:numFmt w:val="bullet"/>
      <w:pStyle w:val="bulletitem"/>
      <w:lvlText w:val=""/>
      <w:lvlJc w:val="left"/>
      <w:pPr>
        <w:tabs>
          <w:tab w:val="num" w:pos="227"/>
        </w:tabs>
        <w:ind w:left="227" w:hanging="227"/>
      </w:pPr>
      <w:rPr>
        <w:rFonts w:ascii="Symbol" w:hAnsi="Symbol" w:hint="default"/>
      </w:rPr>
    </w:lvl>
    <w:lvl w:ilvl="1">
      <w:start w:val="1"/>
      <w:numFmt w:val="bullet"/>
      <w:lvlText w:val="─"/>
      <w:lvlJc w:val="left"/>
      <w:pPr>
        <w:tabs>
          <w:tab w:val="num" w:pos="454"/>
        </w:tabs>
        <w:ind w:left="454" w:hanging="227"/>
      </w:pPr>
      <w:rPr>
        <w:rFonts w:ascii="Times New Roman" w:hAnsi="Times New Roman" w:cs="Times New Roman" w:hint="default"/>
      </w:rPr>
    </w:lvl>
    <w:lvl w:ilvl="2">
      <w:start w:val="1"/>
      <w:numFmt w:val="bullet"/>
      <w:lvlText w:val="o"/>
      <w:lvlJc w:val="left"/>
      <w:pPr>
        <w:tabs>
          <w:tab w:val="num" w:pos="680"/>
        </w:tabs>
        <w:ind w:left="680" w:hanging="226"/>
      </w:pPr>
      <w:rPr>
        <w:rFonts w:ascii="Courier New" w:hAnsi="Courier New" w:hint="default"/>
      </w:rPr>
    </w:lvl>
    <w:lvl w:ilvl="3">
      <w:start w:val="1"/>
      <w:numFmt w:val="bullet"/>
      <w:lvlText w:val=""/>
      <w:lvlJc w:val="left"/>
      <w:pPr>
        <w:tabs>
          <w:tab w:val="num" w:pos="907"/>
        </w:tabs>
        <w:ind w:left="907" w:hanging="227"/>
      </w:pPr>
      <w:rPr>
        <w:rFonts w:ascii="Wingdings" w:hAnsi="Wingdings" w:hint="default"/>
      </w:rPr>
    </w:lvl>
    <w:lvl w:ilvl="4">
      <w:start w:val="1"/>
      <w:numFmt w:val="bullet"/>
      <w:lvlText w:val="o"/>
      <w:lvlJc w:val="left"/>
      <w:pPr>
        <w:tabs>
          <w:tab w:val="num" w:pos="1134"/>
        </w:tabs>
        <w:ind w:left="1134" w:hanging="227"/>
      </w:pPr>
      <w:rPr>
        <w:rFonts w:ascii="Courier New" w:hAnsi="Courier New" w:hint="default"/>
      </w:rPr>
    </w:lvl>
    <w:lvl w:ilvl="5">
      <w:start w:val="1"/>
      <w:numFmt w:val="bullet"/>
      <w:lvlText w:val=""/>
      <w:lvlJc w:val="left"/>
      <w:pPr>
        <w:tabs>
          <w:tab w:val="num" w:pos="1361"/>
        </w:tabs>
        <w:ind w:left="1361" w:hanging="227"/>
      </w:pPr>
      <w:rPr>
        <w:rFonts w:ascii="Wingdings" w:hAnsi="Wingdings" w:hint="default"/>
      </w:rPr>
    </w:lvl>
    <w:lvl w:ilvl="6">
      <w:start w:val="1"/>
      <w:numFmt w:val="bullet"/>
      <w:lvlText w:val=""/>
      <w:lvlJc w:val="left"/>
      <w:pPr>
        <w:tabs>
          <w:tab w:val="num" w:pos="1588"/>
        </w:tabs>
        <w:ind w:left="1588" w:hanging="227"/>
      </w:pPr>
      <w:rPr>
        <w:rFonts w:ascii="Symbol" w:hAnsi="Symbol" w:hint="default"/>
      </w:rPr>
    </w:lvl>
    <w:lvl w:ilvl="7">
      <w:start w:val="1"/>
      <w:numFmt w:val="bullet"/>
      <w:lvlText w:val="o"/>
      <w:lvlJc w:val="left"/>
      <w:pPr>
        <w:tabs>
          <w:tab w:val="num" w:pos="1814"/>
        </w:tabs>
        <w:ind w:left="1814" w:hanging="226"/>
      </w:pPr>
      <w:rPr>
        <w:rFonts w:ascii="Courier New" w:hAnsi="Courier New" w:hint="default"/>
      </w:rPr>
    </w:lvl>
    <w:lvl w:ilvl="8">
      <w:start w:val="1"/>
      <w:numFmt w:val="bullet"/>
      <w:lvlText w:val=""/>
      <w:lvlJc w:val="left"/>
      <w:pPr>
        <w:tabs>
          <w:tab w:val="num" w:pos="2041"/>
        </w:tabs>
        <w:ind w:left="2041" w:hanging="227"/>
      </w:pPr>
      <w:rPr>
        <w:rFonts w:ascii="Wingdings" w:hAnsi="Wingdings" w:hint="default"/>
      </w:rPr>
    </w:lvl>
  </w:abstractNum>
  <w:abstractNum w:abstractNumId="1" w15:restartNumberingAfterBreak="0">
    <w:nsid w:val="6F404C9F"/>
    <w:multiLevelType w:val="multilevel"/>
    <w:tmpl w:val="BEDA5F46"/>
    <w:styleLink w:val="itemization2"/>
    <w:lvl w:ilvl="0">
      <w:start w:val="1"/>
      <w:numFmt w:val="bullet"/>
      <w:pStyle w:val="dashitem"/>
      <w:lvlText w:val="─"/>
      <w:lvlJc w:val="left"/>
      <w:pPr>
        <w:tabs>
          <w:tab w:val="num" w:pos="227"/>
        </w:tabs>
        <w:ind w:left="227" w:hanging="227"/>
      </w:pPr>
      <w:rPr>
        <w:rFonts w:ascii="Times New Roman" w:hAnsi="Times New Roman" w:cs="Times New Roman" w:hint="default"/>
      </w:rPr>
    </w:lvl>
    <w:lvl w:ilvl="1">
      <w:start w:val="1"/>
      <w:numFmt w:val="bullet"/>
      <w:lvlText w:val=""/>
      <w:lvlJc w:val="left"/>
      <w:pPr>
        <w:tabs>
          <w:tab w:val="num" w:pos="454"/>
        </w:tabs>
        <w:ind w:left="454" w:hanging="227"/>
      </w:pPr>
      <w:rPr>
        <w:rFonts w:ascii="Symbol" w:hAnsi="Symbol" w:hint="default"/>
      </w:rPr>
    </w:lvl>
    <w:lvl w:ilvl="2">
      <w:start w:val="1"/>
      <w:numFmt w:val="bullet"/>
      <w:lvlText w:val="○"/>
      <w:lvlJc w:val="left"/>
      <w:pPr>
        <w:tabs>
          <w:tab w:val="num" w:pos="680"/>
        </w:tabs>
        <w:ind w:left="680" w:hanging="226"/>
      </w:pPr>
      <w:rPr>
        <w:rFonts w:ascii="Times New Roman" w:hAnsi="Times New Roman" w:cs="Times New Roman" w:hint="default"/>
      </w:rPr>
    </w:lvl>
    <w:lvl w:ilvl="3">
      <w:start w:val="1"/>
      <w:numFmt w:val="bullet"/>
      <w:lvlText w:val="■"/>
      <w:lvlJc w:val="left"/>
      <w:pPr>
        <w:tabs>
          <w:tab w:val="num" w:pos="907"/>
        </w:tabs>
        <w:ind w:left="907" w:hanging="227"/>
      </w:pPr>
      <w:rPr>
        <w:rFonts w:ascii="Times New Roman" w:hAnsi="Times New Roman" w:cs="Times New Roman" w:hint="default"/>
      </w:rPr>
    </w:lvl>
    <w:lvl w:ilvl="4">
      <w:start w:val="1"/>
      <w:numFmt w:val="bullet"/>
      <w:lvlText w:val="○"/>
      <w:lvlJc w:val="left"/>
      <w:pPr>
        <w:tabs>
          <w:tab w:val="num" w:pos="1134"/>
        </w:tabs>
        <w:ind w:left="1134" w:hanging="227"/>
      </w:pPr>
      <w:rPr>
        <w:rFonts w:ascii="Times New Roman" w:hAnsi="Times New Roman" w:cs="Times New Roman" w:hint="default"/>
      </w:rPr>
    </w:lvl>
    <w:lvl w:ilvl="5">
      <w:start w:val="1"/>
      <w:numFmt w:val="bullet"/>
      <w:lvlText w:val="■"/>
      <w:lvlJc w:val="left"/>
      <w:pPr>
        <w:tabs>
          <w:tab w:val="num" w:pos="1361"/>
        </w:tabs>
        <w:ind w:left="1361" w:hanging="227"/>
      </w:pPr>
      <w:rPr>
        <w:rFonts w:ascii="Times New Roman" w:hAnsi="Times New Roman" w:cs="Times New Roman" w:hint="default"/>
      </w:rPr>
    </w:lvl>
    <w:lvl w:ilvl="6">
      <w:start w:val="1"/>
      <w:numFmt w:val="bullet"/>
      <w:lvlText w:val=""/>
      <w:lvlJc w:val="left"/>
      <w:pPr>
        <w:tabs>
          <w:tab w:val="num" w:pos="1588"/>
        </w:tabs>
        <w:ind w:left="1588" w:hanging="227"/>
      </w:pPr>
      <w:rPr>
        <w:rFonts w:ascii="Symbol" w:hAnsi="Symbol" w:hint="default"/>
      </w:rPr>
    </w:lvl>
    <w:lvl w:ilvl="7">
      <w:start w:val="1"/>
      <w:numFmt w:val="bullet"/>
      <w:lvlText w:val="○"/>
      <w:lvlJc w:val="left"/>
      <w:pPr>
        <w:tabs>
          <w:tab w:val="num" w:pos="1814"/>
        </w:tabs>
        <w:ind w:left="1814" w:hanging="226"/>
      </w:pPr>
      <w:rPr>
        <w:rFonts w:ascii="Times New Roman" w:hAnsi="Times New Roman" w:cs="Times New Roman" w:hint="default"/>
      </w:rPr>
    </w:lvl>
    <w:lvl w:ilvl="8">
      <w:start w:val="1"/>
      <w:numFmt w:val="bullet"/>
      <w:lvlText w:val="■"/>
      <w:lvlJc w:val="left"/>
      <w:pPr>
        <w:tabs>
          <w:tab w:val="num" w:pos="2041"/>
        </w:tabs>
        <w:ind w:left="2041" w:hanging="227"/>
      </w:pPr>
      <w:rPr>
        <w:rFonts w:ascii="Times New Roman" w:hAnsi="Times New Roman" w:cs="Times New Roman" w:hint="default"/>
      </w:rPr>
    </w:lvl>
  </w:abstractNum>
  <w:abstractNum w:abstractNumId="2" w15:restartNumberingAfterBreak="0">
    <w:nsid w:val="7738779A"/>
    <w:multiLevelType w:val="multilevel"/>
    <w:tmpl w:val="77EC1FB2"/>
    <w:styleLink w:val="headings"/>
    <w:lvl w:ilvl="0">
      <w:start w:val="1"/>
      <w:numFmt w:val="decimal"/>
      <w:pStyle w:val="heading1"/>
      <w:lvlText w:val="%1"/>
      <w:lvlJc w:val="left"/>
      <w:pPr>
        <w:tabs>
          <w:tab w:val="num" w:pos="567"/>
        </w:tabs>
        <w:ind w:left="567" w:hanging="567"/>
      </w:pPr>
      <w:rPr>
        <w:rFonts w:hint="default"/>
      </w:rPr>
    </w:lvl>
    <w:lvl w:ilvl="1">
      <w:start w:val="1"/>
      <w:numFmt w:val="decimal"/>
      <w:pStyle w:val="heading2"/>
      <w:lvlText w:val="%1.%2"/>
      <w:lvlJc w:val="left"/>
      <w:pPr>
        <w:tabs>
          <w:tab w:val="num" w:pos="567"/>
        </w:tabs>
        <w:ind w:left="567" w:hanging="567"/>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851"/>
        </w:tabs>
        <w:ind w:left="851" w:hanging="851"/>
      </w:pPr>
      <w:rPr>
        <w:rFonts w:hint="default"/>
      </w:rPr>
    </w:lvl>
    <w:lvl w:ilvl="4">
      <w:start w:val="1"/>
      <w:numFmt w:val="decimal"/>
      <w:lvlText w:val="%1.%2.%3.%4.%5"/>
      <w:lvlJc w:val="left"/>
      <w:pPr>
        <w:tabs>
          <w:tab w:val="num" w:pos="964"/>
        </w:tabs>
        <w:ind w:left="964" w:hanging="964"/>
      </w:pPr>
      <w:rPr>
        <w:rFonts w:ascii="Times New Roman" w:hAnsi="Times New Roman" w:hint="default"/>
        <w:b w:val="0"/>
        <w:i/>
        <w:sz w:val="20"/>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 w15:restartNumberingAfterBreak="0">
    <w:nsid w:val="7B274BC8"/>
    <w:multiLevelType w:val="multilevel"/>
    <w:tmpl w:val="72E65396"/>
    <w:styleLink w:val="arabnumitem"/>
    <w:lvl w:ilvl="0">
      <w:start w:val="1"/>
      <w:numFmt w:val="decimal"/>
      <w:lvlRestart w:val="0"/>
      <w:pStyle w:val="numitem"/>
      <w:lvlText w:val="%1."/>
      <w:lvlJc w:val="right"/>
      <w:pPr>
        <w:tabs>
          <w:tab w:val="num" w:pos="0"/>
        </w:tabs>
        <w:ind w:left="227" w:hanging="57"/>
      </w:pPr>
      <w:rPr>
        <w:rFonts w:hint="default"/>
      </w:rPr>
    </w:lvl>
    <w:lvl w:ilvl="1">
      <w:start w:val="1"/>
      <w:numFmt w:val="lowerLetter"/>
      <w:lvlText w:val="%2."/>
      <w:lvlJc w:val="left"/>
      <w:pPr>
        <w:tabs>
          <w:tab w:val="num" w:pos="227"/>
        </w:tabs>
        <w:ind w:left="454" w:hanging="227"/>
      </w:pPr>
      <w:rPr>
        <w:rFonts w:hint="default"/>
      </w:rPr>
    </w:lvl>
    <w:lvl w:ilvl="2">
      <w:start w:val="1"/>
      <w:numFmt w:val="decimal"/>
      <w:lvlText w:val="(%3)"/>
      <w:lvlJc w:val="left"/>
      <w:pPr>
        <w:tabs>
          <w:tab w:val="num" w:pos="454"/>
        </w:tabs>
        <w:ind w:left="794" w:hanging="340"/>
      </w:pPr>
      <w:rPr>
        <w:rFonts w:hint="default"/>
      </w:rPr>
    </w:lvl>
    <w:lvl w:ilvl="3">
      <w:start w:val="1"/>
      <w:numFmt w:val="lowerRoman"/>
      <w:lvlText w:val="%4."/>
      <w:lvlJc w:val="left"/>
      <w:pPr>
        <w:tabs>
          <w:tab w:val="num" w:pos="794"/>
        </w:tabs>
        <w:ind w:left="1077" w:hanging="283"/>
      </w:pPr>
      <w:rPr>
        <w:rFonts w:hint="default"/>
      </w:rPr>
    </w:lvl>
    <w:lvl w:ilvl="4">
      <w:start w:val="1"/>
      <w:numFmt w:val="lowerLetter"/>
      <w:lvlText w:val="(%5)"/>
      <w:lvlJc w:val="left"/>
      <w:pPr>
        <w:tabs>
          <w:tab w:val="num" w:pos="1077"/>
        </w:tabs>
        <w:ind w:left="1360" w:hanging="283"/>
      </w:pPr>
      <w:rPr>
        <w:rFonts w:hint="default"/>
      </w:rPr>
    </w:lvl>
    <w:lvl w:ilvl="5">
      <w:start w:val="1"/>
      <w:numFmt w:val="upperLetter"/>
      <w:lvlText w:val="%6."/>
      <w:lvlJc w:val="left"/>
      <w:pPr>
        <w:tabs>
          <w:tab w:val="num" w:pos="1360"/>
        </w:tabs>
        <w:ind w:left="1700" w:hanging="340"/>
      </w:pPr>
      <w:rPr>
        <w:rFonts w:hint="default"/>
      </w:rPr>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7D9521C8"/>
    <w:multiLevelType w:val="multilevel"/>
    <w:tmpl w:val="F35CB8F2"/>
    <w:styleLink w:val="referencelist"/>
    <w:lvl w:ilvl="0">
      <w:start w:val="1"/>
      <w:numFmt w:val="decimal"/>
      <w:pStyle w:val="referenceitem"/>
      <w:lvlText w:val="%1."/>
      <w:lvlJc w:val="right"/>
      <w:pPr>
        <w:tabs>
          <w:tab w:val="num" w:pos="341"/>
        </w:tabs>
        <w:ind w:left="341" w:hanging="114"/>
      </w:pPr>
      <w:rPr>
        <w:rFonts w:hint="default"/>
      </w:rPr>
    </w:lvl>
    <w:lvl w:ilvl="1">
      <w:start w:val="1"/>
      <w:numFmt w:val="lowerLetter"/>
      <w:lvlText w:val="%2."/>
      <w:lvlJc w:val="left"/>
      <w:pPr>
        <w:tabs>
          <w:tab w:val="num" w:pos="1896"/>
        </w:tabs>
        <w:ind w:left="1896" w:hanging="360"/>
      </w:pPr>
      <w:rPr>
        <w:rFonts w:hint="default"/>
      </w:rPr>
    </w:lvl>
    <w:lvl w:ilvl="2">
      <w:start w:val="1"/>
      <w:numFmt w:val="lowerRoman"/>
      <w:lvlText w:val="%3."/>
      <w:lvlJc w:val="right"/>
      <w:pPr>
        <w:tabs>
          <w:tab w:val="num" w:pos="2616"/>
        </w:tabs>
        <w:ind w:left="2616" w:hanging="180"/>
      </w:pPr>
      <w:rPr>
        <w:rFonts w:hint="default"/>
      </w:rPr>
    </w:lvl>
    <w:lvl w:ilvl="3">
      <w:start w:val="1"/>
      <w:numFmt w:val="decimal"/>
      <w:lvlText w:val="%4."/>
      <w:lvlJc w:val="left"/>
      <w:pPr>
        <w:tabs>
          <w:tab w:val="num" w:pos="3336"/>
        </w:tabs>
        <w:ind w:left="3336" w:hanging="360"/>
      </w:pPr>
      <w:rPr>
        <w:rFonts w:hint="default"/>
      </w:rPr>
    </w:lvl>
    <w:lvl w:ilvl="4">
      <w:start w:val="1"/>
      <w:numFmt w:val="lowerLetter"/>
      <w:lvlText w:val="%5."/>
      <w:lvlJc w:val="left"/>
      <w:pPr>
        <w:tabs>
          <w:tab w:val="num" w:pos="4056"/>
        </w:tabs>
        <w:ind w:left="4056" w:hanging="360"/>
      </w:pPr>
      <w:rPr>
        <w:rFonts w:hint="default"/>
      </w:rPr>
    </w:lvl>
    <w:lvl w:ilvl="5">
      <w:start w:val="1"/>
      <w:numFmt w:val="lowerRoman"/>
      <w:lvlText w:val="%6."/>
      <w:lvlJc w:val="right"/>
      <w:pPr>
        <w:tabs>
          <w:tab w:val="num" w:pos="4776"/>
        </w:tabs>
        <w:ind w:left="4776" w:hanging="180"/>
      </w:pPr>
      <w:rPr>
        <w:rFonts w:hint="default"/>
      </w:rPr>
    </w:lvl>
    <w:lvl w:ilvl="6">
      <w:start w:val="1"/>
      <w:numFmt w:val="decimal"/>
      <w:lvlText w:val="%7."/>
      <w:lvlJc w:val="left"/>
      <w:pPr>
        <w:tabs>
          <w:tab w:val="num" w:pos="5496"/>
        </w:tabs>
        <w:ind w:left="5496" w:hanging="360"/>
      </w:pPr>
      <w:rPr>
        <w:rFonts w:hint="default"/>
      </w:rPr>
    </w:lvl>
    <w:lvl w:ilvl="7">
      <w:start w:val="1"/>
      <w:numFmt w:val="lowerLetter"/>
      <w:lvlText w:val="%8."/>
      <w:lvlJc w:val="left"/>
      <w:pPr>
        <w:tabs>
          <w:tab w:val="num" w:pos="6216"/>
        </w:tabs>
        <w:ind w:left="6216" w:hanging="360"/>
      </w:pPr>
      <w:rPr>
        <w:rFonts w:hint="default"/>
      </w:rPr>
    </w:lvl>
    <w:lvl w:ilvl="8">
      <w:start w:val="1"/>
      <w:numFmt w:val="lowerRoman"/>
      <w:lvlText w:val="%9."/>
      <w:lvlJc w:val="right"/>
      <w:pPr>
        <w:tabs>
          <w:tab w:val="num" w:pos="6936"/>
        </w:tabs>
        <w:ind w:left="6936" w:hanging="180"/>
      </w:pPr>
      <w:rPr>
        <w:rFonts w:hint="default"/>
      </w:rPr>
    </w:lvl>
  </w:abstractNum>
  <w:num w:numId="1">
    <w:abstractNumId w:val="0"/>
  </w:num>
  <w:num w:numId="2">
    <w:abstractNumId w:val="0"/>
  </w:num>
  <w:num w:numId="3">
    <w:abstractNumId w:val="1"/>
  </w:num>
  <w:num w:numId="4">
    <w:abstractNumId w:val="1"/>
  </w:num>
  <w:num w:numId="5">
    <w:abstractNumId w:val="3"/>
  </w:num>
  <w:num w:numId="6">
    <w:abstractNumId w:val="3"/>
  </w:num>
  <w:num w:numId="7">
    <w:abstractNumId w:val="2"/>
  </w:num>
  <w:num w:numId="8">
    <w:abstractNumId w:val="4"/>
  </w:num>
  <w:num w:numId="9">
    <w:abstractNumId w:val="4"/>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260"/>
  <w:proofState w:spelling="clean" w:grammar="clean"/>
  <w:stylePaneFormatFilter w:val="0001" w:allStyles="1"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227"/>
  <w:autoHyphenation/>
  <w:hyphenationZone w:val="400"/>
  <w:doNotHyphenateCaps/>
  <w:evenAndOddHeaders/>
  <w:noPunctuationKerning/>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7FCE"/>
    <w:rsid w:val="0095682A"/>
    <w:rsid w:val="009930E4"/>
    <w:rsid w:val="009B2539"/>
    <w:rsid w:val="009F7FCE"/>
    <w:rsid w:val="00A13D60"/>
    <w:rsid w:val="00B23481"/>
    <w:rsid w:val="00F321B4"/>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6ACF1C1"/>
  <w15:docId w15:val="{4350FD72-C282-4529-999A-E662787767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Times New Roman" w:eastAsiaTheme="Times New Roman" w:hAnsiTheme="Times New Roman" w:cs="Times New Roman"/>
        <w:sz w:val="20"/>
        <w:szCs w:val="20"/>
        <w:lang w:val="en-US" w:eastAsia="en-US" w:bidi="ar-SA"/>
      </w:rPr>
    </w:rPrDefault>
    <w:pPrDefault>
      <w:pPr>
        <w:spacing w:after="0" w:line="240" w:lineRule="atLeast"/>
      </w:pPr>
    </w:pPrDefault>
  </w:docDefaults>
  <w:latentStyles w:defLockedState="0" w:defUIPriority="0" w:defSemiHidden="1" w:defUnhideWhenUsed="0" w:defQFormat="0" w:count="267">
    <w:lsdException w:name="Normal" w:semiHidden="0" w:qFormat="1"/>
  </w:latentStyles>
  <w:style w:type="paragraph" w:default="1" w:styleId="Normal">
    <w:name w:val="Normal"/>
    <w:qFormat/>
    <w:rsid w:val="00CE7667"/>
    <w:pPr>
      <w:overflowPunct w:val="0"/>
      <w:autoSpaceDE w:val="0"/>
      <w:autoSpaceDN w:val="0"/>
      <w:adjustRightInd w:val="0"/>
      <w:spacing w:after="0" w:line="240" w:lineRule="atLeast"/>
      <w:ind w:firstLine="227"/>
      <w:jc w:val="both"/>
      <w:textAlignment w:val="baseline"/>
    </w:pPr>
    <w:rPr>
      <w:rFonts w:ascii="Times New Roman" w:eastAsia="Times New Roman" w:hAnsi="Times New Roman"/>
      <w:sz w:val="20"/>
      <w:szCs w:val="20"/>
      <w:lang w:val="en-US" w:eastAsia="en-US" w:bidi="ar-SA"/>
    </w:rPr>
  </w:style>
  <w:style w:type="character" w:default="1" w:styleId="Default Paragraph Font">
    <w:name w:val="Default Paragraph Font"/>
    <w:uiPriority w:val="1"/>
    <w:semiHidden/>
    <w:unhideWhenUsed/>
  </w:style>
  <w:style w:type="table" w:default="1" w:styleId="Normal Table">
    <w:name w:val="Normal Table"/>
    <w:uiPriority w:val="99"/>
    <w:semiHidden/>
    <w:unhideWhenUsed/>
    <w:tblPr>
      <w:tblInd w:w="0" w:type="dxa"/>
      <w:tblCellMar>
        <w:top w:w="57" w:type="dxa"/>
        <w:left w:w="57" w:type="dxa"/>
        <w:bottom w:w="57" w:type="dxa"/>
        <w:right w:w="57" w:type="dxa"/>
      </w:tblCellMar>
    </w:tblPr>
  </w:style>
  <w:style w:type="numbering" w:default="1" w:styleId="No List">
    <w:name w:val="No List"/>
    <w:uiPriority w:val="99"/>
    <w:semiHidden/>
    <w:unhideWhenUsed/>
  </w:style>
  <w:style w:type="paragraph" w:customStyle="1" w:styleId="abstract">
    <w:name w:val="abstract"/>
    <w:basedOn w:val="Normal"/>
    <w:pPr>
      <w:spacing w:before="600" w:after="360" w:line="220" w:lineRule="atLeast"/>
      <w:ind w:left="567" w:right="567"/>
      <w:contextualSpacing/>
    </w:pPr>
    <w:rPr>
      <w:sz w:val="18"/>
    </w:rPr>
  </w:style>
  <w:style w:type="paragraph" w:customStyle="1" w:styleId="address">
    <w:name w:val="address"/>
    <w:basedOn w:val="Normal"/>
    <w:pPr>
      <w:spacing w:after="200" w:line="220" w:lineRule="atLeast"/>
      <w:ind w:firstLine="0"/>
      <w:contextualSpacing/>
      <w:jc w:val="center"/>
    </w:pPr>
    <w:rPr>
      <w:sz w:val="18"/>
    </w:rPr>
  </w:style>
  <w:style w:type="numbering" w:customStyle="1" w:styleId="arabnumitem">
    <w:name w:val="arabnumitem"/>
    <w:basedOn w:val="No List"/>
    <w:pPr>
      <w:numPr>
        <w:numId w:val="5"/>
      </w:numPr>
    </w:pPr>
  </w:style>
  <w:style w:type="paragraph" w:customStyle="1" w:styleId="author">
    <w:name w:val="author"/>
    <w:basedOn w:val="Normal"/>
    <w:next w:val="address"/>
    <w:pPr>
      <w:spacing w:after="200" w:line="220" w:lineRule="atLeast"/>
      <w:ind w:firstLine="0"/>
      <w:jc w:val="center"/>
    </w:pPr>
  </w:style>
  <w:style w:type="paragraph" w:customStyle="1" w:styleId="bulletitem">
    <w:name w:val="bulletitem"/>
    <w:basedOn w:val="Normal"/>
    <w:pPr>
      <w:numPr>
        <w:numId w:val="2"/>
      </w:numPr>
      <w:spacing w:before="160" w:after="160"/>
      <w:contextualSpacing/>
    </w:pPr>
  </w:style>
  <w:style w:type="paragraph" w:customStyle="1" w:styleId="dashitem">
    <w:name w:val="dashitem"/>
    <w:basedOn w:val="Normal"/>
    <w:pPr>
      <w:numPr>
        <w:numId w:val="4"/>
      </w:numPr>
      <w:spacing w:before="160" w:after="160"/>
      <w:contextualSpacing/>
    </w:pPr>
  </w:style>
  <w:style w:type="character" w:customStyle="1" w:styleId="e-mail">
    <w:name w:val="e-mail"/>
    <w:basedOn w:val="Default Paragraph Font"/>
    <w:rPr>
      <w:rFonts w:ascii="Courier" w:hAnsi="Courier"/>
      <w:noProof/>
    </w:rPr>
  </w:style>
  <w:style w:type="paragraph" w:customStyle="1" w:styleId="equation">
    <w:name w:val="equation"/>
    <w:basedOn w:val="Normal"/>
    <w:next w:val="Normal"/>
    <w:pPr>
      <w:tabs>
        <w:tab w:val="center" w:pos="3289"/>
        <w:tab w:val="right" w:pos="6917"/>
      </w:tabs>
      <w:spacing w:before="160" w:after="160"/>
      <w:ind w:firstLine="0"/>
    </w:pPr>
  </w:style>
  <w:style w:type="paragraph" w:customStyle="1" w:styleId="figurecaption">
    <w:name w:val="figurecaption"/>
    <w:basedOn w:val="Normal"/>
    <w:next w:val="Normal"/>
    <w:pPr>
      <w:keepLines/>
      <w:spacing w:before="120" w:after="240" w:line="220" w:lineRule="atLeast"/>
      <w:ind w:firstLine="0"/>
      <w:jc w:val="center"/>
    </w:pPr>
    <w:rPr>
      <w:sz w:val="18"/>
    </w:rPr>
  </w:style>
  <w:style w:type="character" w:styleId="footnote reference">
    <w:name w:val="footnote reference"/>
    <w:basedOn w:val="Default Paragraph Font"/>
    <w:semiHidden/>
    <w:unhideWhenUsed/>
    <w:rPr>
      <w:position w:val="0"/>
      <w:vertAlign w:val="superscript"/>
    </w:rPr>
  </w:style>
  <w:style w:type="paragraph" w:styleId="footer">
    <w:name w:val="footer"/>
    <w:basedOn w:val="Normal"/>
    <w:semiHidden/>
    <w:unhideWhenUsed/>
    <w:rPr>
      <w:rFonts w:ascii="Times New Roman" w:eastAsia="Times New Roman" w:hAnsi="Times New Roman"/>
      <w:sz w:val="20"/>
      <w:szCs w:val="20"/>
    </w:rPr>
  </w:style>
  <w:style w:type="paragraph" w:customStyle="1" w:styleId="heading1">
    <w:name w:val="heading1"/>
    <w:basedOn w:val="Normal"/>
    <w:next w:val="p1a"/>
    <w:qFormat/>
    <w:pPr>
      <w:keepNext/>
      <w:keepLines/>
      <w:suppressAutoHyphens/>
      <w:spacing w:before="360" w:after="240" w:line="300" w:lineRule="atLeast"/>
      <w:ind w:left="567" w:hanging="567"/>
      <w:jc w:val="left"/>
      <w:outlineLvl w:val="0"/>
      <w:numPr>
        <w:numId w:val="7"/>
      </w:numPr>
    </w:pPr>
    <w:rPr>
      <w:b/>
      <w:sz w:val="24"/>
    </w:rPr>
  </w:style>
  <w:style w:type="paragraph" w:styleId="heading 1">
    <w:name w:val="heading 1"/>
    <w:basedOn w:val="Normal"/>
    <w:next w:val="p1a"/>
    <w:semiHidden/>
    <w:unhideWhenUsed/>
    <w:qFormat/>
    <w:pPr>
      <w:keepNext/>
      <w:keepLines/>
      <w:suppressAutoHyphens/>
      <w:spacing w:before="360" w:after="240" w:line="300" w:lineRule="atLeast"/>
      <w:ind w:left="567" w:hanging="567"/>
      <w:jc w:val="left"/>
      <w:outlineLvl w:val="0"/>
    </w:pPr>
    <w:rPr>
      <w:b/>
      <w:sz w:val="24"/>
    </w:rPr>
  </w:style>
  <w:style w:type="paragraph" w:customStyle="1" w:styleId="heading2">
    <w:name w:val="heading2"/>
    <w:basedOn w:val="Normal"/>
    <w:next w:val="p1a"/>
    <w:qFormat/>
    <w:pPr>
      <w:keepNext/>
      <w:keepLines/>
      <w:suppressAutoHyphens/>
      <w:spacing w:before="360" w:after="160"/>
      <w:ind w:left="567" w:hanging="567"/>
      <w:jc w:val="left"/>
      <w:outlineLvl w:val="1"/>
      <w:numPr>
        <w:ilvl w:val="1"/>
        <w:numId w:val="7"/>
      </w:numPr>
    </w:pPr>
    <w:rPr>
      <w:b/>
    </w:rPr>
  </w:style>
  <w:style w:type="paragraph" w:styleId="heading 2">
    <w:name w:val="heading 2"/>
    <w:basedOn w:val="Normal"/>
    <w:next w:val="p1a"/>
    <w:qFormat/>
    <w:semiHidden/>
    <w:unhideWhenUsed/>
    <w:pPr>
      <w:keepNext/>
      <w:keepLines/>
      <w:suppressAutoHyphens/>
      <w:spacing w:before="360" w:after="160"/>
      <w:ind w:left="567" w:hanging="567"/>
      <w:jc w:val="left"/>
      <w:outlineLvl w:val="1"/>
    </w:pPr>
    <w:rPr>
      <w:b/>
    </w:rPr>
  </w:style>
  <w:style w:type="paragraph" w:styleId="heading 3">
    <w:name w:val="heading 3"/>
    <w:basedOn w:val="Normal"/>
    <w:next w:val="Normal"/>
    <w:qFormat/>
    <w:pPr>
      <w:spacing w:before="360"/>
      <w:ind w:firstLine="0"/>
      <w:outlineLvl w:val="2"/>
      <w:b/>
    </w:pPr>
  </w:style>
  <w:style w:type="character" w:customStyle="1" w:styleId="heading3">
    <w:name w:val="heading3"/>
    <w:basedOn w:val="Default Paragraph Font"/>
    <w:rPr>
      <w:b/>
    </w:rPr>
  </w:style>
  <w:style w:type="paragraph" w:styleId="acknowlegments">
    <w:name w:val="acknowlegments"/>
    <w:basedOn w:val="Normal"/>
    <w:next w:val="acknowlegments"/>
    <w:qFormat/>
    <w:pPr>
      <w:spacing w:before="240"/>
      <w:ind w:firstLine="0"/>
      <w:spacing w:line="220" w:lineRule="atLeast"/>
      <w:b/>
    </w:pPr>
    <w:rPr>
      <w:sz w:val="18"/>
    </w:rPr>
  </w:style>
  <w:style w:type="paragraph" w:styleId="heading 4">
    <w:name w:val="heading 4"/>
    <w:basedOn w:val="Normal"/>
    <w:next w:val="Normal"/>
    <w:qFormat/>
    <w:pPr>
      <w:spacing w:before="240"/>
      <w:ind w:firstLine="0"/>
      <w:outlineLvl w:val="3"/>
      <w:i/>
    </w:pPr>
  </w:style>
  <w:style w:type="character" w:customStyle="1" w:styleId="heading4">
    <w:name w:val="heading4"/>
    <w:basedOn w:val="Default Paragraph Font"/>
    <w:rPr>
      <w:i/>
    </w:rPr>
  </w:style>
  <w:style w:type="numbering" w:customStyle="1" w:styleId="headings">
    <w:name w:val="headings"/>
    <w:basedOn w:val="arabnumitem"/>
    <w:pPr>
      <w:numPr>
        <w:numId w:val="7"/>
      </w:numPr>
    </w:pPr>
  </w:style>
  <w:style w:type="character" w:styleId="Hyperlink">
    <w:name w:val="Hyperlink"/>
    <w:basedOn w:val="Default Paragraph Font"/>
    <w:semiHidden/>
    <w:unhideWhenUsed/>
    <w:rPr>
      <w:color w:val="auto"/>
      <w:u w:val="none"/>
    </w:rPr>
  </w:style>
  <w:style w:type="paragraph" w:customStyle="1" w:styleId="image">
    <w:name w:val="image"/>
    <w:basedOn w:val="Normal"/>
    <w:next w:val="Normal"/>
    <w:pPr>
      <w:spacing w:before="240" w:after="120"/>
      <w:ind w:firstLine="0"/>
      <w:jc w:val="center"/>
    </w:pPr>
  </w:style>
  <w:style w:type="numbering" w:customStyle="1" w:styleId="itemization1">
    <w:name w:val="itemization1"/>
    <w:basedOn w:val="No List"/>
    <w:pPr>
      <w:numPr>
        <w:numId w:val="1"/>
      </w:numPr>
    </w:pPr>
  </w:style>
  <w:style w:type="numbering" w:customStyle="1" w:styleId="itemization2">
    <w:name w:val="itemization2"/>
    <w:basedOn w:val="No List"/>
    <w:pPr>
      <w:numPr>
        <w:numId w:val="3"/>
      </w:numPr>
    </w:pPr>
  </w:style>
  <w:style w:type="paragraph" w:customStyle="1" w:styleId="keywords">
    <w:name w:val="keywords"/>
    <w:basedOn w:val="abstract"/>
    <w:next w:val="heading1"/>
    <w:pPr>
      <w:spacing w:before="220"/>
      <w:ind w:firstLine="0"/>
      <w:contextualSpacing w:val="0"/>
      <w:jc w:val="left"/>
    </w:pPr>
  </w:style>
  <w:style w:type="paragraph" w:styleId="header">
    <w:name w:val="header"/>
    <w:basedOn w:val="Normal"/>
    <w:semiHidden/>
    <w:unhideWhenUsed/>
    <w:pPr>
      <w:tabs>
        <w:tab w:val="center" w:pos="4536"/>
        <w:tab w:val="right" w:pos="9072"/>
      </w:tabs>
      <w:ind w:firstLine="0"/>
    </w:pPr>
    <w:rPr>
      <w:sz w:val="18"/>
      <w:szCs w:val="18"/>
    </w:rPr>
  </w:style>
  <w:style w:type="paragraph" w:customStyle="1" w:styleId="numitem">
    <w:name w:val="numitem"/>
    <w:basedOn w:val="Normal"/>
    <w:pPr>
      <w:numPr>
        <w:numId w:val="6"/>
      </w:numPr>
      <w:spacing w:before="160" w:after="160"/>
      <w:contextualSpacing/>
    </w:pPr>
  </w:style>
  <w:style w:type="paragraph" w:customStyle="1" w:styleId="p1a">
    <w:name w:val="p1a"/>
    <w:basedOn w:val="Normal"/>
    <w:next w:val="Normal"/>
    <w:pPr>
      <w:ind w:firstLine="0"/>
    </w:pPr>
  </w:style>
  <w:style w:type="paragraph" w:customStyle="1" w:styleId="programcode">
    <w:name w:val="programcode"/>
    <w:basedOn w:val="Normal"/>
    <w:pPr>
      <w:tabs>
        <w:tab w:val="left" w:pos="227"/>
        <w:tab w:val="left" w:pos="454"/>
        <w:tab w:val="left" w:pos="680"/>
        <w:tab w:val="left" w:pos="907"/>
        <w:tab w:val="left" w:pos="1134"/>
        <w:tab w:val="left" w:pos="1361"/>
        <w:tab w:val="left" w:pos="1588"/>
        <w:tab w:val="left" w:pos="1814"/>
        <w:tab w:val="left" w:pos="2041"/>
        <w:tab w:val="left" w:pos="2268"/>
        <w:tab w:val="left" w:pos="2495"/>
        <w:tab w:val="left" w:pos="2722"/>
        <w:tab w:val="left" w:pos="2948"/>
        <w:tab w:val="left" w:pos="3175"/>
        <w:tab w:val="left" w:pos="3402"/>
        <w:tab w:val="left" w:pos="3629"/>
        <w:tab w:val="left" w:pos="3856"/>
        <w:tab w:val="left" w:pos="4082"/>
        <w:tab w:val="left" w:pos="4309"/>
        <w:tab w:val="left" w:pos="4536"/>
        <w:tab w:val="left" w:pos="4763"/>
        <w:tab w:val="left" w:pos="4990"/>
        <w:tab w:val="left" w:pos="5216"/>
        <w:tab w:val="left" w:pos="5443"/>
        <w:tab w:val="left" w:pos="5670"/>
        <w:tab w:val="left" w:pos="5897"/>
        <w:tab w:val="left" w:pos="6124"/>
        <w:tab w:val="left" w:pos="6350"/>
        <w:tab w:val="left" w:pos="6577"/>
      </w:tabs>
      <w:spacing w:before="160" w:after="160"/>
      <w:ind w:firstLine="0"/>
      <w:contextualSpacing/>
      <w:jc w:val="left"/>
    </w:pPr>
    <w:rPr>
      <w:rFonts w:ascii="Courier" w:hAnsi="Courier"/>
    </w:rPr>
  </w:style>
  <w:style w:type="paragraph" w:customStyle="1" w:styleId="referenceitem">
    <w:name w:val="referenceitem"/>
    <w:basedOn w:val="Normal"/>
    <w:pPr>
      <w:numPr>
        <w:numId w:val="9"/>
      </w:numPr>
      <w:spacing w:line="220" w:lineRule="atLeast"/>
    </w:pPr>
    <w:rPr>
      <w:sz w:val="18"/>
    </w:rPr>
  </w:style>
  <w:style w:type="numbering" w:customStyle="1" w:styleId="referencelist">
    <w:name w:val="referencelist"/>
    <w:basedOn w:val="No List"/>
    <w:semiHidden/>
    <w:pPr>
      <w:numPr>
        <w:numId w:val="8"/>
      </w:numPr>
    </w:pPr>
  </w:style>
  <w:style w:type="paragraph" w:customStyle="1" w:styleId="runningheadleft">
    <w:name w:val="runninghead left"/>
    <w:basedOn w:val="Normal"/>
    <w:pPr>
      <w:ind w:firstLine="0"/>
      <w:jc w:val="left"/>
      <w:tabs>
        <w:tab w:val="left" w:pos="680"/>
      </w:tabs>
      <w:ind w:firstLine="0"/>
      <w:jc w:val="left"/>
    </w:pPr>
    <w:rPr>
      <w:sz w:val="18"/>
      <w:szCs w:val="18"/>
    </w:rPr>
  </w:style>
  <w:style w:type="paragraph" w:customStyle="1" w:styleId="runningheadright">
    <w:name w:val="runninghead right"/>
    <w:basedOn w:val="Normal"/>
    <w:pPr>
      <w:ind w:firstLine="0"/>
      <w:jc w:val="left"/>
      <w:tabs>
        <w:tab w:val="right" w:pos="6237"/>
        <w:tab w:val="right" w:pos="6917"/>
      </w:tabs>
      <w:ind w:firstLine="0"/>
      <w:jc w:val="left"/>
    </w:pPr>
    <w:rPr>
      <w:bCs/>
      <w:sz w:val="18"/>
      <w:szCs w:val="18"/>
    </w:rPr>
  </w:style>
  <w:style w:type="character" w:styleId="page number">
    <w:name w:val="page number"/>
    <w:basedOn w:val="Default Paragraph Font"/>
    <w:semiHidden/>
    <w:unhideWhenUsed/>
    <w:rPr>
      <w:sz w:val="18"/>
    </w:rPr>
  </w:style>
  <w:style w:type="paragraph" w:customStyle="1" w:styleId="papertitle">
    <w:name w:val="papertitle"/>
    <w:basedOn w:val="Normal"/>
    <w:next w:val="author"/>
    <w:pPr>
      <w:keepNext/>
      <w:keepLines/>
      <w:suppressAutoHyphens/>
      <w:spacing w:after="480" w:line="360" w:lineRule="atLeast"/>
      <w:ind w:firstLine="0"/>
      <w:jc w:val="center"/>
    </w:pPr>
    <w:rPr>
      <w:b/>
      <w:sz w:val="28"/>
    </w:rPr>
  </w:style>
  <w:style w:type="paragraph" w:customStyle="1" w:styleId="papersubtitle">
    <w:name w:val="papersubtitle"/>
    <w:basedOn w:val="papertitle"/>
    <w:next w:val="author"/>
    <w:pPr>
      <w:spacing w:before="120" w:line="280" w:lineRule="atLeast"/>
    </w:pPr>
    <w:rPr>
      <w:sz w:val="24"/>
    </w:rPr>
  </w:style>
  <w:style w:type="paragraph" w:customStyle="1" w:styleId="tablecaption">
    <w:name w:val="tablecaption"/>
    <w:basedOn w:val="Normal"/>
    <w:next w:val="Normal"/>
    <w:pPr>
      <w:keepNext/>
      <w:keepLines/>
      <w:spacing w:before="240" w:after="120" w:line="220" w:lineRule="atLeast"/>
      <w:ind w:firstLine="0"/>
      <w:jc w:val="center"/>
    </w:pPr>
    <w:rPr>
      <w:sz w:val="18"/>
    </w:rPr>
  </w:style>
  <w:style w:type="character" w:customStyle="1" w:styleId="url">
    <w:name w:val="url"/>
    <w:basedOn w:val="Default Paragraph Font"/>
    <w:rPr>
      <w:rFonts w:ascii="Courier" w:hAnsi="Courier"/>
      <w:noProof/>
    </w:rPr>
  </w:style>
  <w:style w:type="character" w:customStyle="1" w:styleId="ORCID">
    <w:name w:val="ORCID"/>
    <w:basedOn w:val="Default Paragraph Font"/>
    <w:rPr>
      <w:position w:val="0"/>
      <w:vertAlign w:val="superscript"/>
    </w:rPr>
  </w:style>
  <w:style w:type="paragraph" w:styleId="footnote text">
    <w:name w:val="footnote text"/>
    <w:basedOn w:val="Normal"/>
    <w:semiHidden/>
    <w:pPr>
      <w:spacing w:line="220" w:lineRule="atLeast"/>
      <w:ind w:left="227" w:hanging="227"/>
    </w:pPr>
    <w:rPr>
      <w:sz w:val="18"/>
    </w:rPr>
  </w:style>
  <w:style w:type="paragraph" w:customStyle="1" w:styleId="ReferenceLine">
    <w:name w:val="ReferenceLine"/>
    <w:basedOn w:val="p1a"/>
    <w:semiHidden/>
    <w:unhideWhenUsed/>
    <w:pPr>
      <w:spacing w:line="200" w:lineRule="exact"/>
    </w:pPr>
    <w:rPr>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1.xml"/><Relationship Id="rId16" Type="http://schemas.openxmlformats.org/officeDocument/2006/relationships/footer" Target="footer3.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header" Target="header3.xml"/><Relationship Id="rId10" Type="http://schemas.openxmlformats.org/officeDocument/2006/relationships/hyperlink" Target="http://www.springer.com/lncs" TargetMode="External"/><Relationship Id="rId4" Type="http://schemas.openxmlformats.org/officeDocument/2006/relationships/styles" Target="styles.xml"/><Relationship Id="rId9" Type="http://schemas.openxmlformats.org/officeDocument/2006/relationships/chart" Target="charts/chart1.xml"/><Relationship Id="rId14" Type="http://schemas.openxmlformats.org/officeDocument/2006/relationships/footer" Target="footer2.xml"/><Relationship Id="rId1" Type="http://schemas.openxmlformats.org/officeDocument/2006/relationships/image" Target="media/image1.png"/><Relationship Id="rId19" Type="http://schemas.openxmlformats.org/officeDocument/2006/relationships/image" Target="media/image2.png"/><Relationship Id="rId20" Type="http://schemas.openxmlformats.org/officeDocument/2006/relationships/image" Target="media/image3.png"/><Relationship Id="rId21" Type="http://schemas.openxmlformats.org/officeDocument/2006/relationships/image" Target="media/image4.png"/><Relationship Id="rId22" Type="http://schemas.openxmlformats.org/officeDocument/2006/relationships/image" Target="media/image5.png"/><Relationship Id="rId23" Type="http://schemas.openxmlformats.org/officeDocument/2006/relationships/image" Target="media/image6.png"/><Relationship Id="rId24" Type="http://schemas.openxmlformats.org/officeDocument/2006/relationships/image" Target="media/image7.png"/><Relationship Id="rId25" Type="http://schemas.openxmlformats.org/officeDocument/2006/relationships/image" Target="media/image8.png"/><Relationship Id="rId26" Type="http://schemas.openxmlformats.org/officeDocument/2006/relationships/image" Target="media/image9.png"/><Relationship Id="rId27" Type="http://schemas.openxmlformats.org/officeDocument/2006/relationships/image" Target="media/image10.png"/><Relationship Id="rId28" Type="http://schemas.openxmlformats.org/officeDocument/2006/relationships/image" Target="media/image11.png"/><Relationship Id="rId29" Type="http://schemas.openxmlformats.org/officeDocument/2006/relationships/image" Target="media/image12.png"/></Relationships>
</file>

<file path=word/charts/_rels/chart1.xml.rels><?xml version='1.0' encoding='UTF-8' standalone='yes'?>
<Relationships xmlns="http://schemas.openxmlformats.org/package/2006/relationships"><Relationship Id="rId1" Type="http://schemas.openxmlformats.org/officeDocument/2006/relationships/oleObject" Target="file:///\\DISKSTATION\backup\Springer\LNCS%20Templates\2016\Test.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de-DE"/>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5.0778005922154201E-2"/>
          <c:y val="5.1400554097404488E-2"/>
          <c:w val="0.94049952150364025"/>
          <c:h val="0.8326195683872849"/>
        </c:manualLayout>
      </c:layout>
      <c:lineChart>
        <c:grouping val="standard"/>
        <c:varyColors val="0"/>
        <c:ser>
          <c:idx val="0"/>
          <c:order val="0"/>
          <c:tx>
            <c:strRef>
              <c:f>Tabelle1!$B$1</c:f>
              <c:strCache>
                <c:ptCount val="1"/>
                <c:pt idx="0">
                  <c:v>Data A</c:v>
                </c:pt>
              </c:strCache>
            </c:strRef>
          </c:tx>
          <c:spPr>
            <a:ln w="12700">
              <a:solidFill>
                <a:schemeClr val="tx1"/>
              </a:solidFill>
              <a:prstDash val="sysDash"/>
            </a:ln>
          </c:spPr>
          <c:marker>
            <c:symbol val="none"/>
          </c:marker>
          <c:dPt>
            <c:idx val="9"/>
            <c:bubble3D val="0"/>
            <c:extLst>
              <c:ext xmlns:c16="http://schemas.microsoft.com/office/drawing/2014/chart" uri="{C3380CC4-5D6E-409C-BE32-E72D297353CC}">
                <c16:uniqueId val="{00000000-BE4E-410B-82E8-D1B77A0F4C32}"/>
              </c:ext>
            </c:extLst>
          </c:dPt>
          <c:cat>
            <c:numRef>
              <c:f>Tabelle1!$A$2:$A$32</c:f>
              <c:numCache>
                <c:formatCode>General</c:formatCode>
                <c:ptCount val="31"/>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pt idx="24">
                  <c:v>24</c:v>
                </c:pt>
                <c:pt idx="25">
                  <c:v>25</c:v>
                </c:pt>
                <c:pt idx="26">
                  <c:v>26</c:v>
                </c:pt>
                <c:pt idx="27">
                  <c:v>27</c:v>
                </c:pt>
                <c:pt idx="28">
                  <c:v>28</c:v>
                </c:pt>
                <c:pt idx="29">
                  <c:v>29</c:v>
                </c:pt>
                <c:pt idx="30">
                  <c:v>30</c:v>
                </c:pt>
              </c:numCache>
            </c:numRef>
          </c:cat>
          <c:val>
            <c:numRef>
              <c:f>Tabelle1!$B$2:$B$32</c:f>
              <c:numCache>
                <c:formatCode>General</c:formatCode>
                <c:ptCount val="31"/>
                <c:pt idx="0">
                  <c:v>0</c:v>
                </c:pt>
                <c:pt idx="1">
                  <c:v>2</c:v>
                </c:pt>
                <c:pt idx="2">
                  <c:v>1</c:v>
                </c:pt>
                <c:pt idx="3">
                  <c:v>3</c:v>
                </c:pt>
                <c:pt idx="4">
                  <c:v>4</c:v>
                </c:pt>
                <c:pt idx="5">
                  <c:v>5</c:v>
                </c:pt>
                <c:pt idx="6">
                  <c:v>7</c:v>
                </c:pt>
                <c:pt idx="7">
                  <c:v>3</c:v>
                </c:pt>
                <c:pt idx="8">
                  <c:v>5</c:v>
                </c:pt>
                <c:pt idx="9">
                  <c:v>4</c:v>
                </c:pt>
                <c:pt idx="10">
                  <c:v>8</c:v>
                </c:pt>
                <c:pt idx="11">
                  <c:v>10</c:v>
                </c:pt>
                <c:pt idx="12">
                  <c:v>11</c:v>
                </c:pt>
                <c:pt idx="13">
                  <c:v>13</c:v>
                </c:pt>
                <c:pt idx="14">
                  <c:v>16</c:v>
                </c:pt>
                <c:pt idx="15">
                  <c:v>15</c:v>
                </c:pt>
                <c:pt idx="16">
                  <c:v>12</c:v>
                </c:pt>
                <c:pt idx="17">
                  <c:v>18</c:v>
                </c:pt>
                <c:pt idx="18">
                  <c:v>19</c:v>
                </c:pt>
                <c:pt idx="19">
                  <c:v>21</c:v>
                </c:pt>
                <c:pt idx="20">
                  <c:v>8</c:v>
                </c:pt>
                <c:pt idx="21">
                  <c:v>12</c:v>
                </c:pt>
                <c:pt idx="22">
                  <c:v>11</c:v>
                </c:pt>
                <c:pt idx="23">
                  <c:v>9</c:v>
                </c:pt>
                <c:pt idx="24">
                  <c:v>13</c:v>
                </c:pt>
                <c:pt idx="25">
                  <c:v>19</c:v>
                </c:pt>
                <c:pt idx="26">
                  <c:v>26</c:v>
                </c:pt>
                <c:pt idx="27">
                  <c:v>31</c:v>
                </c:pt>
                <c:pt idx="28">
                  <c:v>32</c:v>
                </c:pt>
                <c:pt idx="29">
                  <c:v>39</c:v>
                </c:pt>
                <c:pt idx="30">
                  <c:v>45</c:v>
                </c:pt>
              </c:numCache>
            </c:numRef>
          </c:val>
          <c:smooth val="0"/>
          <c:extLst>
            <c:ext xmlns:c16="http://schemas.microsoft.com/office/drawing/2014/chart" uri="{C3380CC4-5D6E-409C-BE32-E72D297353CC}">
              <c16:uniqueId val="{00000001-BE4E-410B-82E8-D1B77A0F4C32}"/>
            </c:ext>
          </c:extLst>
        </c:ser>
        <c:ser>
          <c:idx val="1"/>
          <c:order val="1"/>
          <c:tx>
            <c:strRef>
              <c:f>Tabelle1!$C$1</c:f>
              <c:strCache>
                <c:ptCount val="1"/>
                <c:pt idx="0">
                  <c:v>Data B</c:v>
                </c:pt>
              </c:strCache>
            </c:strRef>
          </c:tx>
          <c:spPr>
            <a:ln w="12700"/>
          </c:spPr>
          <c:marker>
            <c:symbol val="none"/>
          </c:marker>
          <c:cat>
            <c:numRef>
              <c:f>Tabelle1!$A$2:$A$32</c:f>
              <c:numCache>
                <c:formatCode>General</c:formatCode>
                <c:ptCount val="31"/>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pt idx="24">
                  <c:v>24</c:v>
                </c:pt>
                <c:pt idx="25">
                  <c:v>25</c:v>
                </c:pt>
                <c:pt idx="26">
                  <c:v>26</c:v>
                </c:pt>
                <c:pt idx="27">
                  <c:v>27</c:v>
                </c:pt>
                <c:pt idx="28">
                  <c:v>28</c:v>
                </c:pt>
                <c:pt idx="29">
                  <c:v>29</c:v>
                </c:pt>
                <c:pt idx="30">
                  <c:v>30</c:v>
                </c:pt>
              </c:numCache>
            </c:numRef>
          </c:cat>
          <c:val>
            <c:numRef>
              <c:f>Tabelle1!$C$2:$C$32</c:f>
              <c:numCache>
                <c:formatCode>General</c:formatCode>
                <c:ptCount val="31"/>
                <c:pt idx="0">
                  <c:v>16</c:v>
                </c:pt>
                <c:pt idx="1">
                  <c:v>13</c:v>
                </c:pt>
                <c:pt idx="2">
                  <c:v>14</c:v>
                </c:pt>
                <c:pt idx="3">
                  <c:v>15</c:v>
                </c:pt>
                <c:pt idx="4">
                  <c:v>17</c:v>
                </c:pt>
                <c:pt idx="5">
                  <c:v>16.5</c:v>
                </c:pt>
                <c:pt idx="6">
                  <c:v>18</c:v>
                </c:pt>
                <c:pt idx="7">
                  <c:v>19.3</c:v>
                </c:pt>
                <c:pt idx="8">
                  <c:v>12.4</c:v>
                </c:pt>
                <c:pt idx="9">
                  <c:v>14.6</c:v>
                </c:pt>
                <c:pt idx="10">
                  <c:v>16.5</c:v>
                </c:pt>
                <c:pt idx="11">
                  <c:v>15.3</c:v>
                </c:pt>
                <c:pt idx="12">
                  <c:v>14</c:v>
                </c:pt>
                <c:pt idx="13">
                  <c:v>14.7</c:v>
                </c:pt>
                <c:pt idx="14">
                  <c:v>13.9</c:v>
                </c:pt>
                <c:pt idx="15">
                  <c:v>12.2</c:v>
                </c:pt>
                <c:pt idx="16">
                  <c:v>16.8</c:v>
                </c:pt>
                <c:pt idx="17">
                  <c:v>17.100000000000001</c:v>
                </c:pt>
                <c:pt idx="18">
                  <c:v>19.2</c:v>
                </c:pt>
                <c:pt idx="19">
                  <c:v>18.25</c:v>
                </c:pt>
                <c:pt idx="20">
                  <c:v>22</c:v>
                </c:pt>
                <c:pt idx="21" formatCode="#.##000_ ;\-#.##000\ ">
                  <c:v>24</c:v>
                </c:pt>
                <c:pt idx="22" formatCode="#.##000_ ;\-#.##000\ ">
                  <c:v>25</c:v>
                </c:pt>
                <c:pt idx="23" formatCode="#.##000_ ;\-#.##000\ ">
                  <c:v>23.5</c:v>
                </c:pt>
                <c:pt idx="24" formatCode="#.##000_ ;\-#.##000\ ">
                  <c:v>21</c:v>
                </c:pt>
                <c:pt idx="25" formatCode="#.##000_ ;\-#.##000\ ">
                  <c:v>16.899999999999999</c:v>
                </c:pt>
                <c:pt idx="26" formatCode="#.##000_ ;\-#.##000\ ">
                  <c:v>17.5</c:v>
                </c:pt>
                <c:pt idx="27" formatCode="#.##000_ ;\-#.##000\ ">
                  <c:v>18.2</c:v>
                </c:pt>
                <c:pt idx="28" formatCode="#.##000_ ;\-#.##000\ ">
                  <c:v>19.100000000000001</c:v>
                </c:pt>
                <c:pt idx="29" formatCode="#.##000_ ;\-#.##000\ ">
                  <c:v>14.8</c:v>
                </c:pt>
                <c:pt idx="30" formatCode="#.##000_ ;\-#.##000\ ">
                  <c:v>15.2</c:v>
                </c:pt>
              </c:numCache>
            </c:numRef>
          </c:val>
          <c:smooth val="0"/>
          <c:extLst>
            <c:ext xmlns:c16="http://schemas.microsoft.com/office/drawing/2014/chart" uri="{C3380CC4-5D6E-409C-BE32-E72D297353CC}">
              <c16:uniqueId val="{00000002-BE4E-410B-82E8-D1B77A0F4C32}"/>
            </c:ext>
          </c:extLst>
        </c:ser>
        <c:dLbls>
          <c:showLegendKey val="0"/>
          <c:showVal val="0"/>
          <c:showCatName val="0"/>
          <c:showSerName val="0"/>
          <c:showPercent val="0"/>
          <c:showBubbleSize val="0"/>
        </c:dLbls>
        <c:smooth val="0"/>
        <c:axId val="45318528"/>
        <c:axId val="45321216"/>
      </c:lineChart>
      <c:catAx>
        <c:axId val="45318528"/>
        <c:scaling>
          <c:orientation val="minMax"/>
        </c:scaling>
        <c:delete val="0"/>
        <c:axPos val="b"/>
        <c:numFmt formatCode="General" sourceLinked="1"/>
        <c:majorTickMark val="out"/>
        <c:minorTickMark val="none"/>
        <c:tickLblPos val="nextTo"/>
        <c:crossAx val="45321216"/>
        <c:crosses val="autoZero"/>
        <c:auto val="1"/>
        <c:lblAlgn val="ctr"/>
        <c:lblOffset val="100"/>
        <c:tickLblSkip val="5"/>
        <c:noMultiLvlLbl val="0"/>
      </c:catAx>
      <c:valAx>
        <c:axId val="45321216"/>
        <c:scaling>
          <c:orientation val="minMax"/>
        </c:scaling>
        <c:delete val="0"/>
        <c:axPos val="l"/>
        <c:majorGridlines>
          <c:spPr>
            <a:ln>
              <a:noFill/>
            </a:ln>
          </c:spPr>
        </c:majorGridlines>
        <c:numFmt formatCode="General" sourceLinked="1"/>
        <c:majorTickMark val="out"/>
        <c:minorTickMark val="none"/>
        <c:tickLblPos val="nextTo"/>
        <c:crossAx val="45318528"/>
        <c:crossesAt val="1"/>
        <c:crossBetween val="midCat"/>
      </c:valAx>
    </c:plotArea>
    <c:legend>
      <c:legendPos val="r"/>
      <c:layout>
        <c:manualLayout>
          <c:xMode val="edge"/>
          <c:yMode val="edge"/>
          <c:x val="0.13960322214804829"/>
          <c:y val="0.16628280839895013"/>
          <c:w val="0.1903015956378338"/>
          <c:h val="0.16743438320209975"/>
        </c:manualLayout>
      </c:layout>
      <c:overlay val="0"/>
    </c:legend>
    <c:plotVisOnly val="1"/>
    <c:dispBlanksAs val="gap"/>
    <c:showDLblsOverMax val="0"/>
  </c:chart>
  <c:spPr>
    <a:ln>
      <a:noFill/>
    </a:ln>
  </c:spPr>
  <c:txPr>
    <a:bodyPr/>
    <a:lstStyle/>
    <a:p>
      <a:pPr>
        <a:defRPr sz="800"/>
      </a:pPr>
      <a:endParaRPr lang="de-DE"/>
    </a:p>
  </c:txPr>
  <c:externalData r:id="rId1">
    <c:autoUpdate val="0"/>
  </c:externalData>
</c:chartSpace>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UI/_rels/customUI14.xml.rels><?xml version='1.0' encoding='UTF-8' standalone='yes'?>
<Relationships xmlns="http://schemas.openxmlformats.org/package/2006/relationships"><Relationship Id="FigCaption" Type="http://schemas.openxmlformats.org/officeDocument/2006/relationships/image" Target="images/FigCaption0.ICO"/><Relationship Id="removespace" Type="http://schemas.openxmlformats.org/officeDocument/2006/relationships/image" Target="images/removespace0.ICO"/><Relationship Id="normal32" Type="http://schemas.openxmlformats.org/officeDocument/2006/relationships/image" Target="images/normal3200.ICO"/><Relationship Id="ORCID" Type="http://schemas.openxmlformats.org/officeDocument/2006/relationships/image" Target="images/ORCID0.ICO"/><Relationship Id="papertitle" Type="http://schemas.openxmlformats.org/officeDocument/2006/relationships/image" Target="images/papertitle.png"/><Relationship Id="addspace" Type="http://schemas.openxmlformats.org/officeDocument/2006/relationships/image" Target="images/addspace0.ICO"/><Relationship Id="arrowleft" Type="http://schemas.openxmlformats.org/officeDocument/2006/relationships/image" Target="images/arrowleft0.ICO"/><Relationship Id="bulletitem" Type="http://schemas.openxmlformats.org/officeDocument/2006/relationships/image" Target="images/bulletitem0.ICO"/><Relationship Id="togglenumbering" Type="http://schemas.openxmlformats.org/officeDocument/2006/relationships/image" Target="images/togglenumbering0.ICO"/><Relationship Id="eqnumber" Type="http://schemas.openxmlformats.org/officeDocument/2006/relationships/image" Target="images/eqnumber0.ICO"/><Relationship Id="normalspace" Type="http://schemas.openxmlformats.org/officeDocument/2006/relationships/image" Target="images/normalspace00.ICO"/><Relationship Id="abstract" Type="http://schemas.openxmlformats.org/officeDocument/2006/relationships/image" Target="images/abstract0.ICO"/><Relationship Id="arrowright" Type="http://schemas.openxmlformats.org/officeDocument/2006/relationships/image" Target="images/arrowright0.ICO"/><Relationship Id="equation" Type="http://schemas.openxmlformats.org/officeDocument/2006/relationships/image" Target="images/equation0.ICO"/><Relationship Id="RedoStyles" Type="http://schemas.openxmlformats.org/officeDocument/2006/relationships/image" Target="images/RedoStyles0.ICO"/><Relationship Id="TabCaption" Type="http://schemas.openxmlformats.org/officeDocument/2006/relationships/image" Target="images/TabCaption0.ICO"/><Relationship Id="InsertImage" Type="http://schemas.openxmlformats.org/officeDocument/2006/relationships/image" Target="images/InsertImage0.ICO"/><Relationship Id="squeeze" Type="http://schemas.openxmlformats.org/officeDocument/2006/relationships/image" Target="images/squeeze00.ICO"/><Relationship Id="expand" Type="http://schemas.openxmlformats.org/officeDocument/2006/relationships/image" Target="images/expand00.ICO"/><Relationship Id="dashitem" Type="http://schemas.openxmlformats.org/officeDocument/2006/relationships/image" Target="images/dashitem0.ICO"/><Relationship Id="numitem" Type="http://schemas.openxmlformats.org/officeDocument/2006/relationships/image" Target="images/numitem0.ICO"/><Relationship Id="papersubtitle" Type="http://schemas.openxmlformats.org/officeDocument/2006/relationships/image" Target="images/subtitle.png"/><Relationship Id="HeaderFooter" Type="http://schemas.openxmlformats.org/officeDocument/2006/relationships/image" Target="images/HeaderFooter0.ICO"/></Relationships>
</file>

<file path=customUI/customUI14.xml><?xml version="1.0" encoding="utf-8"?>
<customUI xmlns="http://schemas.microsoft.com/office/2009/07/customui" onLoad="LoadSpProcRibbon">
  <ribbon startFromScratch="false">
    <tabs>
      <tab id="tabSpProc" insertBeforeMso="TabHome" label="Springer Proceedings Macros">
        <group id="grTitlePage" label="Title Page" autoScale="true">
          <button id="btnTitle" label="Title" image="papertitle" size="large" onAction="MakeTitle" screentip="Format selected text as paper title"/>
          <button id="btnSubtitle" label="Subtitle" image="papersubtitle" size="large" onAction="MakeSubtitle" screentip="Format selected text as paper subtitle (optional)"/>
          <button id="btnAuthor" label="Author" imageMso="DistributionListSelectMembers" size="large" onAction="MakeAuthor" screentip="Format selected text as paper author(s)"/>
          <box id="box1" boxStyle="vertical">
            <button id="btnORCID" label="ORCID" image="ORCID" onAction="MakeORCID" screentip="Format selected text as ORCID id" supertip="Please note that ORCID ids will not be printed. In the online version they will be replaced by icons that are linked to the related ORCID pages."/>
            <button id="btnAddress" label="Address" imageMso="MailMergeAddressBlockInsert" onAction="MakeAddress" screentip="Format selected text as affiliation (including e-mail address, URL)"/>
            <button id="btnEmail" label="E-mail" imageMso="EnvelopesAndLabelsDialog" onAction="MakeEMail" screentip="Format selected text as e-mail address or URL (apply typewriter style)"/>
          </box>
          <button id="btnAbstract" label="Abstract" image="abstract" size="large" onAction="MakeAbstract" screentip="Format selected text as abstract" supertip="If not present, the word 'Abstract' is added at the beginning of the first paragraph."/>
          <button id="btnKeywords" label="Keywords" imageMso="ReviewTrackChanges" size="large" onAction="MakeKeywords" screentip="Format selected text as keywords" supertip="If not present, the word 'Keywords' is added at the beginning of the first paragraph."/>
        </group>
        <group id="grBasicFormats" image="lncs2" label="Basic Formats" autoScale="true">
          <button id="btnH1" label="H1" imageMso="PivotTableLayoutShowInOutlineForm" size="large" onAction="H1" screentip="Format selected text as heading (level 1)"/>
          <button id="btnH2" label="H2" imageMso="PivotTableLayoutShowInCompactForm" size="large" onAction="H2" screentip="Format selected text as heading (level 2)"/>
          <button id="btnH3" label="H3" imageMso="PivotTableLayoutBlankRows" size="large" onAction="H3" screentip="Format selected text as an unnumbered heading (level 3)"/>
          <button id="btnH4" label="H4" imageMso="PivotTableLayoutSubtotals" size="large" onAction="H4" screentip="Format selected text as an unnumbered heading (level 4)"/>
          <box id="box2" boxStyle="vertical">
            <button id="btnBullet" label="Bullet Item" image="bulletitem" onAction="MakeBulletItem" screentip="Format selected text as bullet item(s)" supertip="Please note that bullets are the default for unnumbered lists in Springer proceedings."/>
            <button id="btnDash" label="Dash Item" image="dashitem" onAction="MakeDashItem" screentip="Format selected text as dash item(s)" supertip="Please note that bullets are the default for unnumbered lists in Springer proceedings."/>
            <button id="btnNumbered" label="Num Item" image="numitem" onAction="MakeNumItem" screentip="Format selected text as numbered item(s)"/>
          </box>
          <box id="box3" boxStyle="vertical">
            <button id="btnListLevelUp" label="List Level +" image="arrowright" onAction="ListLevelUp" screentip="Move the selected text one level up in the list hierarchy" supertip="This buttton can be used to create and edit nested lists (numbered and unnumbered)."/>
            <button id="btnListLevelDown" label="List Level -" image="arrowleft" onAction="ListLevelDown" screentip="Move the selected text one level down in the list hierarchy" supertip="This buttton can be used to create and edit nested lists (numbered and unnumbered)."/>
            <button id="btnToggleNum" label=" 1../..n.." image="togglenumbering" onAction="RestartNumbering" screentip="Toggle between restarting and continuing a numbered list" supertip="Applies to numbered lists only."/>
          </box>
          <button id="btnStandard" label="Normal Text" image="normal32" size="large" onAction="MakeStandard" screentip="Format the selection as normal text" supertip="This button can change both paragraph format and character style. If applied to a nonstandard paragraph, the standard paragraph format is applied. If applied to a standard paragraph, the standard character style is applied. If you want to both apply the standard paragraph format and remove a nonstandard character style, simply click on the button twice."/>
          <box id="box4" boxStyle="vertical">
            <button id="btnAddSpace" label="Add Space" image="addspace" onAction="AddVerticalSpace" screentip="Add 6 pt (2.1 mm) of vertical space before the selected paragraph."/>
            <button id="btnClearSpace" label="Clear Space" image="removespace" onAction="ClearVerticalSpace" screentip="Clear any vertical space before and after the selected text"/>
            <button id="btnFootnote" label="Footnote" imageMso="FootnoteInsert" onAction="InsertFN" screentip="Add a footnote"/>
          </box>
          <button id="btnReference" label="Reference Item" imageMso="NameManager" size="large" onAction="MakeRefItem" screentip="Format selected text as reference item"/>
        </group>
        <group id="grSpecialFormats" label="Figures, Tables, Equations" autoScale="true">
          <box id="box5" boxStyle="vertical">
            <button id="btnInsImage" label="Insert Image" image="InsertImage" onAction="InsertImage" screentip="Insert an image"/>
            <button id="btnTable" label="Table Caption" image="TabCaption" onAction="MakeTableCaption" screentip="Format selected text as table caption" supertip="Please note that the table is numbered with an automatic counter that is updated whenever you reopen the document. A table caption should always be positioned above the related table."/>
            <button id="btnFigure" label="Figure Caption" image="FigCaption" onAction="MakeFigCaption" screentip="Format selected text as figure caption" supertip="Please note that the figure is numbered with an automatic counter that is updated whenever you reopen the document. A figure caption should always be positioned below the related figure."/>
          </box>
          <button id="btnEquation" label="Displayed Equation" image="equation" size="large" onAction="MakeEquation" screentip="Format the selected text as a displayed equation"/>
          <button id="btnEqCounter" label="Add Eq. Number" image="eqnumber" size="large" onAction="AddEqCounter" screentip="Add an equation number to a selected equation" supertip="The equation numbering is updated whenever you open the document"/>
          <button id="btnProgcode" label="Prog. Code" imageMso="CreateStoredProcedure" size="large" onAction="MakeProgCode" screentip="Format the selected text as program code (typewriter style)"/>
        </group>
        <group id="grRestoreTemplate" label="Template" autoScale="true">
          <button id="btnRestTemplate" label="Check Styles" imageMso="AccessThemesGallery" size="large" onAction="RestoreSettings" screentip="Restore all styles" supertip="Use this button if the original template styles might have been altered or deleted."/>
        </group>
      </tab>
    </tabs>
  </ribbon>
</customUI>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F0D90BB-5185-42E2-833C-8056FDC5C2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508</Words>
  <Characters>3022</Characters>
  <Application>Microsoft Office Word</Application>
  <DocSecurity>0</DocSecurity>
  <Lines>25</Lines>
  <Paragraphs>7</Paragraphs>
  <ScaleCrop>false</ScaleCrop>
  <HeadingPairs>
    <vt:vector size="2" baseType="variant">
      <vt:variant>
        <vt:lpstr>Titel</vt:lpstr>
      </vt:variant>
      <vt:variant>
        <vt:i4>1</vt:i4>
      </vt:variant>
    </vt:vector>
  </HeadingPairs>
  <TitlesOfParts>
    <vt:vector size="1" baseType="lpstr">
      <vt:lpstr/>
    </vt:vector>
  </TitlesOfParts>
  <Company>dataspect IT-Services, Neckargemuend, Germany</Company>
  <LinksUpToDate>false</LinksUpToDate>
  <CharactersWithSpaces>3523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Styles and macros for Springer Lecture Notes</dc:description>
  <cp:lastModifiedBy/>
  <cp:revision>3</cp:revision>
  <dcterms:created xsi:type="dcterms:W3CDTF">2023-10-25T07:01:00Z</dcterms:created>
  <dcterms:modified xsi:type="dcterms:W3CDTF">2023-10-25T07:01:00Z</dcterms:modified>
</cp:coreProperties>
</file>