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Multi-Agent Orchestration for Autonomous Superconducting Quantum Chip Research</w:t>
      </w:r>
    </w:p>
    <w:p>
      <w:pPr>
        <w:pStyle w:val="author"/>
      </w:pPr>
      <w:r>
        <w:t>Wei Chen</w:t>
      </w:r>
      <w:r>
        <w:rPr>
          <w:vertAlign w:val="superscript"/>
        </w:rPr>
        <w:t>1</w:t>
      </w:r>
      <w:r>
        <w:t>, Ming Li</w:t>
      </w:r>
      <w:r>
        <w:rPr>
          <w:vertAlign w:val="superscript"/>
        </w:rPr>
        <w:t>1</w:t>
      </w:r>
      <w:r>
        <w:t>, Jian Zhang</w:t>
      </w:r>
      <w:r>
        <w:rPr>
          <w:vertAlign w:val="superscript"/>
        </w:rPr>
        <w:t>2</w:t>
      </w:r>
      <w:r>
        <w:t>, Yun Wang</w:t>
      </w:r>
      <w:r>
        <w:rPr>
          <w:vertAlign w:val="superscript"/>
        </w:rPr>
        <w:t>1</w:t>
      </w:r>
      <w:r>
        <w:t>, and Xiao Liu</w:t>
      </w:r>
      <w:r>
        <w:rPr>
          <w:vertAlign w:val="superscript"/>
        </w:rPr>
        <w:t>2</w:t>
      </w:r>
    </w:p>
    <w:p>
      <w:pPr>
        <w:pStyle w:val="address"/>
      </w:pPr>
      <w:r>
        <w:rPr>
          <w:vertAlign w:val="superscript"/>
        </w:rPr>
        <w:t>1</w:t>
      </w:r>
      <w:r>
        <w:t xml:space="preserve"> Institute of Quantum Computing, University of Science and Technology, Hefei 230026, China</w:t>
      </w:r>
    </w:p>
    <w:p>
      <w:pPr>
        <w:pStyle w:val="address"/>
      </w:pPr>
      <w:r>
        <w:rPr>
          <w:vertAlign w:val="superscript"/>
        </w:rPr>
        <w:t>2</w:t>
      </w:r>
      <w:r>
        <w:t xml:space="preserve"> Department of Electrical Engineering, Tsinghua University, Beijing 100084, China</w:t>
      </w:r>
    </w:p>
    <w:p>
      <w:pPr>
        <w:pStyle w:val="address"/>
      </w:pPr>
      <w:r>
        <w:t>{wei.chen, ming.li}@ustc.edu.cn, {jzhang, xliu}@tsinghua.edu.cn</w:t>
      </w:r>
    </w:p>
    <w:p>
      <w:pPr>
        <w:pStyle w:val="abstract"/>
      </w:pPr>
      <w:r>
        <w:t>Abstract. Superconducting quantum chip development demands coordinated expertise across electromagnetic design, circuit quantization, process engineering, cryogenic measurement, and data analysis. We present AetherQ, a multi-agent AI system that orchestrates twelve specialized AI scientist agents to autonomously manage the full chip research lifecycle through natural-language interaction. The system employs a six-layer architecture with a central orchestrator that routes user intent to domain-specific agents via keyword-based Mixture-of-Experts classification, each agent operating through a ReAct-style tool-call loop over 140 registered tools across 10 platform adapters including Qiskit Metal, Ansys HFSS/Q3D, ARTIQ, and CHIPMES. We introduce three key mechanisms: (i) structured agent specialization through role-specific system prompts, tool-prefix permissions, and domain keyword routing; (ii) a conversation pipeline protocol that records every tool invocation with full provenance for reproducibility; and (iii) an autonomous four-tier heartbeat engine for continuous monitoring without human prompting. We evaluate AetherQ through five collaboration experiments: multi-agent vs. single-agent task completion (100% vs. 90% success rate with 42% fewer reasoning rounds), intent routing accuracy (84% across 50 queries spanning 10 domains), tool-call chain orchestration (up to 8-step chains across 140 tools), cross-agent information flow (85-95% retention across 2-5 agent pipelines), and autonomous heartbeat discovery (8 actionable findings in 24 hours at 87.5% actionable rate). These results demonstrate that structured multi-agent orchestration significantly outperforms monolithic approaches for complex quantum hardware R&amp;D tasks.</w:t>
      </w:r>
    </w:p>
    <w:p>
      <w:pPr>
        <w:pStyle w:val="keywords"/>
      </w:pPr>
      <w:r>
        <w:t>Keywords: Multi-agent orchestration, Superconducting quantum chip, Agent specialization, Tool-call protocol, LLM-based agents, Autonomous scientific research, Intent routing.</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r>
        <w:t>The complexity of this development cycle is compounded by the deep interdependence between stages. A change in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simultaneously. A recent comprehensive survey on Quantum Design Automation (QDA) by Wu et al. [57] identified this interdependence as a fundamental challenge, advocating for holistic co-design frameworks that integrate physical-level and logic-level optimization across the entire quantum computing stack.</w:t>
      </w:r>
    </w:p>
    <w:p>
      <w:pPr/>
      <w:r>
        <w:t>The transmon qubit, introduced by Koch et al. [3], has become the workhorse of superconducting quantum processors due to its reduced charge noise sensitivity achieved through operating in the regime where the Josephson energy EJ greatly exceeds the charging energy EC (typically EJ/EC &gt; 20). Modern transmon architectures incorporate tunable couplers [56] that enable dynamic control of qubit-qubit interactions, allowing residual ZZ coupling to be suppressed below 20 kHz while maintaining coupling strengths exceeding 15 MHz for fast two-qubit gates. The design of these devices requires careful frequency planning to avoid spectral collisions [10], electromagnetic simulation to extract capacitance matrices and participation ratios [11,12], and iterative optimization of geometric parameters to meet target specifications for coherence times, gate fidelities, and readout performance.</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For example, a change in the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electromagnetic simulation, Hamiltonian derivation, decoherence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existing agent systems and quantum hardware automation is significant. Computational chemistry workflows are predominantly software-based (generating input files, running simulations, parsing outputs), whereas quantum hardware workflows involve physical artifacts (GDS layout files, fabricated chips, cryogenic measurement data) and require real-time interaction with instruments and manufacturing execution systems with hundreds of database tables. Moreover,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multi-agent reasoning framework that goes beyond what any single LLM can accomplish.</w:t>
      </w:r>
    </w:p>
    <w:p>
      <w:pPr/>
      <w:r>
        <w:t>The gap between computational chemistry automation and quantum hardware automation is significant. While computational chemistry workflows are predominantly software-based (generating input files, running simulations, parsing outputs), quantum hardware workflows involve physical artifacts (GDS layout files, fabricated chips, cryogenic measurement data) and require real-time interaction with instruments and manufacturing execution systems. Moreover, the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reasoning framework that goes beyond pattern matching.</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high-accuracy electromagnetic simulations in Ansys HFSS with Energy Participation Ratio (EPR) analysis integrated into Qiskit Metal. For larger-scale chips, Li et al. [59] proposed a graph neural network (GNN)-based parameter design algorithm that achieves 51% error reduction compared to conventional methods for circuits approaching 870 qubits. Li et al. [60] demonstrated LLM-assisted superconducting qubit experiments where an LLM framework autonomously performs resonator characterization and QND measurements. The QUASAR framework [61] addresses quantum circuit generation through agentic reinforcement learning, achieving 99.31% validity in quantum assembly code generation. Google's work on reinforcement learning for quantum error correction [62] demonstrates that calibration can be unified with computation through continuous parameter adjustment during operation. These developments highlight the growing sophistication of individual automation tools, but none provides end-to-end orchestration across the full chip lifecycle.</w:t>
      </w:r>
    </w:p>
    <w:p>
      <w:pPr/>
      <w:r>
        <w:t>The QDesignOptimizer framework [58] represents a notable advance in automated superconducting circuit design, combining high-accuracy electromagnetic simulations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end-to-end orchestration.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r>
        <w:t>A recent landmark study by Li et al. [60] demonstrated LLM-assisted superconducting qubit experiments, where an LLM framework generates and invokes experimental tools on-demand via a knowledge base, enabling autonomous resonator characterization and quantum non-demolition (QND) measurements. The QUASAR framework [61] addresses quantum circuit generation through agentic reinforcement learning, achieving 99.31% validity in quantum assembly code generation. Google's work on reinforcement learning for quantum error correction [62] shows that calibration can be unified with computation through continuous parameter adjustment during operation. These developments, while impressive individually, highlight the absence of a unifying framework that integrates design, simulation, fabrication tracking, measurement, and analysis into a coherent multi-agent system. AetherQ addresses this gap by providing a single platform where all twelve roles of a quantum chip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r>
        <w:t>The graceful degradation mechanism operates at the adapter level within the Hands layer. Each of the ten platform adapters implements a connection check function that dynamically detects whether the target service is available. When the service is reachable, the adapter issues real API calls and returns authentic results. When unavailable, it falls back to physics-informed mock responses that maintain the correct data schema and provide analytically computed values rather than empty or random data. For example, the simulation adapter returns approximate eigenmode frequencies computed from analytical transmon formulas when Ansys HFSS is not installed, while the CHIPMES adapter returns representative manufacturing data when the MES database is offline. This dual-mode design ensures that agents can complete their reasoning chains even in partially configured environments, a common situation in research labs where instrument availability varies day to day.</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Autonomous Heartbeat Engine</w:t>
      </w:r>
    </w:p>
    <w:p>
      <w:pPr>
        <w:pStyle w:val="p1a"/>
      </w:pPr>
      <w:r>
        <w:t>A distinctive feature of AetherQ is its autonomous heartbeat engine,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calibration table freshness checks, yield trend analysis against configurable thresholds, and statistical process control (SPC) violation detection. Tier L2 (12-hour cadence) generates experiment suggestions by analyzing qubit characterization data for anomalies such as T1 values falling below expected thresholds, frequency drift patterns, or readout fidelity degradation. Tier L3 (24-hour cadence) performs cross-domain correlation mining, seeking non-obvious relationships between design parameters, fabrication metrics, and measurement outcomes.</w:t>
      </w:r>
    </w:p>
    <w:p>
      <w:pPr/>
      <w:r>
        <w:t>The heartbeat engine proved particularly valuable during our experimental evaluation. In a 24-hour monitoring period, it autonomously detected an equipment alarm, flagged a yield decline below the 90% threshold, identified a qubit with degraded T1, and discovered a correlation between calibration fidelity and fabrication yield that would typically require a data analyst to manually join datasets from the manufacturing execution system and the measurement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design proposals.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fabrication batch; and full chip redesign recommendations (new frequency plan, layout topology changes, packaging modifications) for the next design iteration. M7 generates Pareto-optimal solutions trading off coherence time, gate speed, fabrication yield, and frequency crowding, explicitly quantifying the expected performance gain and fabrication risk associated with each proposed change. This structured approach ensures that design decisions are made with full awareness of the multi-dimensional trade-off landscape rather than optimizing a single metric in isolation.</w:t>
      </w:r>
    </w:p>
    <w:p>
      <w:pPr/>
      <w:r>
        <w:t>Module M8 maintains a structured knowledge graph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dielectric loss), which is TESTED_BY a specific experiment type (e.g., frequency-dependent T1 measurement),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r>
        <w:t>The nine-module architecture of the Theoretical Physicist agent represents a deliberate design choice to decompose complex physics reasoning into well-defined, composable units rather than relying on monolithic LLM generation. Each module has explicit input/output contracts: M0 produces DeviceGraph objects consumed by M1; M1 produces HamiltonianModel objects consumed by M2, M3, and M5; M4 produces DiagnosisReport objects consumed by M7. This separation enables independent validation of each module's outputs, targeted improvement of specific capabilities, and transparent provenance tracking. The alternative approach of prompting a general-purpose LLM to 'analyze the noise mechanisms' risks producing plausible but ungrounded explanations that conflate different physical scales and regimes. By structuring the analysis through explicit modules with defined approximation conditions and validity checks, the system provides guardrails that increase the reliability of physics-informed recommendations.</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evaluate AetherQ through five experiments designed to assess multi-agent collaboration effectiveness. All experiments use the actual system implementation with 12 agents, 140 registered tools, and the keyword-based routing algorithm, running on a single workstation (Intel i7, 32 GB RAM, Python 3.11). The experiments systematically evaluate task completion advantage, routing accuracy, tool-call chain orchestration, cross-agent information flow, and autonomous discovery.</w:t>
      </w:r>
    </w:p>
    <w:p>
      <w:pPr>
        <w:pStyle w:val="heading2"/>
      </w:pPr>
      <w:r>
        <w:t>Experiment 1: Multi-Agent vs. Single-Agent Task Completion</w:t>
      </w:r>
    </w:p>
    <w:p>
      <w:pPr>
        <w:pStyle w:val="p1a"/>
      </w:pPr>
      <w:r>
        <w:t>Task. We compare task completion performance between a single general-purpose agent and AetherQ's 12 specialized agents on 10 tasks spanning four complexity levels (simple, medium, complex, very complex) and requiring 1-4 domain specializations. Tasks range from simple queries ('Query qubit Q1 frequency') to complex multi-domain workflows ('Design chip, simulate, diagnose, and optimize').</w:t>
      </w:r>
    </w:p>
    <w:p>
      <w:pPr/>
      <w:r>
        <w:t>Method. The single-agent baseline uses a general-purpose system prompt with access to all 140 tools but no domain specialization. The multi-agent configuration routes each task through the orchestrator to the appropriate specialized agent(s). We measure task success rate, tool selection accuracy, and average reasoning rounds needed.</w:t>
      </w:r>
    </w:p>
    <w:p>
      <w:pPr/>
      <w:r>
        <w:t>Results. The multi-agent system achieves 100% task success rate compared to 90% for the single agent. Tool selection accuracy improves from 91.3% to 98.6%, and average reasoning rounds decrease from 6.7 to 3.9 (a 42% reduction). The single agent fails on two very complex tasks requiring 4-domain coordination, where it selects incorrect tools due to the large action space (140 tools without domain filtering).</w:t>
      </w:r>
    </w:p>
    <w:p>
      <w:pPr>
        <w:jc w:val="center"/>
      </w:pPr>
      <w:r>
        <w:drawing>
          <wp:inline xmlns:a="http://schemas.openxmlformats.org/drawingml/2006/main" xmlns:pic="http://schemas.openxmlformats.org/drawingml/2006/picture">
            <wp:extent cx="5029200" cy="1825171"/>
            <wp:docPr id="6" name="Picture 6"/>
            <wp:cNvGraphicFramePr>
              <a:graphicFrameLocks noChangeAspect="1"/>
            </wp:cNvGraphicFramePr>
            <a:graphic>
              <a:graphicData uri="http://schemas.openxmlformats.org/drawingml/2006/picture">
                <pic:pic>
                  <pic:nvPicPr>
                    <pic:cNvPr id="0" name="fig5_single_vs_multi.png"/>
                    <pic:cNvPicPr/>
                  </pic:nvPicPr>
                  <pic:blipFill>
                    <a:blip r:embed="rId26"/>
                    <a:stretch>
                      <a:fillRect/>
                    </a:stretch>
                  </pic:blipFill>
                  <pic:spPr>
                    <a:xfrm>
                      <a:off x="0" y="0"/>
                      <a:ext cx="5029200" cy="1825171"/>
                    </a:xfrm>
                    <a:prstGeom prst="rect"/>
                  </pic:spPr>
                </pic:pic>
              </a:graphicData>
            </a:graphic>
          </wp:inline>
        </w:drawing>
      </w:r>
    </w:p>
    <w:p>
      <w:pPr>
        <w:pStyle w:val="figurecaption"/>
      </w:pPr>
      <w:r>
        <w:t>Fig. 5. Single-agent vs. multi-agent comparison across success rate, tool accuracy, and average reasoning rounds. The multi-agent system achieves higher accuracy with fewer rounds.</w:t>
      </w:r>
    </w:p>
    <w:p>
      <w:pPr>
        <w:jc w:val="center"/>
      </w:pPr>
      <w:r>
        <w:t>Analysis. The multi-agent advantage is most pronounced for complex tasks requiring multiple domain specializations. By restricting each agent's tool access through prefix-based permissions, the effective action space shrinks from 140 to 4-15 tools per agent, substantially reducing selection errors. The round reduction arises because specialized agents can directly invoke the correct tools without exploratory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heading2"/>
      </w:pPr>
      <w:r>
        <w:t>Experiment 2: Intent Routing Accuracy</w:t>
      </w:r>
    </w:p>
    <w:p>
      <w:pPr>
        <w:pStyle w:val="p1a"/>
      </w:pPr>
      <w:r>
        <w:t>Task. We evaluate the keyword-based intent routing mechanism on 50 diverse user queries spanning all 10 agent domains, with ground-truth labels assigned by domain experts. Queries are formulated in English and cover the full spectrum from simple factual questions to complex multi-step requests.</w:t>
      </w:r>
    </w:p>
    <w:p>
      <w:pPr/>
      <w:r>
        <w:t>Results. The routing mechanism achieves 84.0% overall accuracy (42/50). Six agents achieve 100% routing accuracy: chip_designer, simulation_engineer, algorithm_engineer, measure_scientist, knowledge_engineer, and project_manager. The lowest accuracy is for device_ops (66.7%) and theorist (73.3%), where ambiguous cross-domain queries create legitimate routing conflicts.</w:t>
      </w:r>
    </w:p>
    <w:p>
      <w:pPr>
        <w:jc w:val="center"/>
      </w:pPr>
      <w:r>
        <w:drawing>
          <wp:inline xmlns:a="http://schemas.openxmlformats.org/drawingml/2006/main" xmlns:pic="http://schemas.openxmlformats.org/drawingml/2006/picture">
            <wp:extent cx="5029200" cy="2126343"/>
            <wp:docPr id="7" name="Picture 7"/>
            <wp:cNvGraphicFramePr>
              <a:graphicFrameLocks noChangeAspect="1"/>
            </wp:cNvGraphicFramePr>
            <a:graphic>
              <a:graphicData uri="http://schemas.openxmlformats.org/drawingml/2006/picture">
                <pic:pic>
                  <pic:nvPicPr>
                    <pic:cNvPr id="0" name="fig6_routing_accuracy.png"/>
                    <pic:cNvPicPr/>
                  </pic:nvPicPr>
                  <pic:blipFill>
                    <a:blip r:embed="rId27"/>
                    <a:stretch>
                      <a:fillRect/>
                    </a:stretch>
                  </pic:blipFill>
                  <pic:spPr>
                    <a:xfrm>
                      <a:off x="0" y="0"/>
                      <a:ext cx="5029200" cy="2126343"/>
                    </a:xfrm>
                    <a:prstGeom prst="rect"/>
                  </pic:spPr>
                </pic:pic>
              </a:graphicData>
            </a:graphic>
          </wp:inline>
        </w:drawing>
      </w:r>
    </w:p>
    <w:p>
      <w:pPr>
        <w:pStyle w:val="figurecaption"/>
      </w:pPr>
      <w:r>
        <w:t>Fig. 6. Intent routing accuracy per agent across 50 test queries. Dashed line shows overall accuracy. Green bars indicate &gt;=80% accuracy.</w:t>
      </w:r>
    </w:p>
    <w:p>
      <w:pPr/>
      <w:r>
        <w:t>Analysis. Routing errors concentrate on inherently ambiguous queries where multiple agents have legitimate claim. For example, 'What is the T1 of Q3?' could reasonably be routed to the theorist (for theoretical prediction), the measurement scientist (for experimental measurement), or the data analyst (for database lookup). Rather than viewing these as failures, they highlight the need for collaborative routing where multiple agents can contribute partial answers. The keyword-based approach provides a strong baseline that is interpretable and maintainable, while leaving room for learned routing models in future work.</w:t>
      </w:r>
    </w:p>
    <w:p>
      <w:pPr>
        <w:pStyle w:val="heading2"/>
      </w:pPr>
      <w:r>
        <w:t>Experiment 3: Tool-Call Chain Orchestration</w:t>
      </w:r>
    </w:p>
    <w:p>
      <w:pPr>
        <w:pStyle w:val="p1a"/>
        <w:jc w:val="center"/>
      </w:pPr>
      <w:r>
        <w:t>Task. We test AetherQ's ability to execute multi-step tool-call chains of varying depth, from single-tool queries to 8-step end-to-end design-simulate-validate pipelines. The system registers 140 tools across 19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r>
        <w:t>Results. All five scenarios complete successfully, including the most complex 8-step chain: create_design, add_transmon, add_route, export_gds, q3d_extraction, build_hamiltonian, noise_budget, and design_proposal. In the full design loop, one tool (sim_q3d_extraction) operates in graceful degradation mode, returning physics-informed analytical results instead of full 3D field solutions. The system correctly chains tool outputs as inputs to subsequent tools, maintaining data consistency across the pipeline.</w:t>
      </w:r>
    </w:p>
    <w:p>
      <w:pPr>
        <w:jc w:val="center"/>
      </w:pPr>
      <w:r>
        <w:drawing>
          <wp:inline xmlns:a="http://schemas.openxmlformats.org/drawingml/2006/main" xmlns:pic="http://schemas.openxmlformats.org/drawingml/2006/picture">
            <wp:extent cx="4572000" cy="1873518"/>
            <wp:docPr id="8" name="Picture 8"/>
            <wp:cNvGraphicFramePr>
              <a:graphicFrameLocks noChangeAspect="1"/>
            </wp:cNvGraphicFramePr>
            <a:graphic>
              <a:graphicData uri="http://schemas.openxmlformats.org/drawingml/2006/picture">
                <pic:pic>
                  <pic:nvPicPr>
                    <pic:cNvPr id="0" name="fig7_chain_depth.png"/>
                    <pic:cNvPicPr/>
                  </pic:nvPicPr>
                  <pic:blipFill>
                    <a:blip r:embed="rId28"/>
                    <a:stretch>
                      <a:fillRect/>
                    </a:stretch>
                  </pic:blipFill>
                  <pic:spPr>
                    <a:xfrm>
                      <a:off x="0" y="0"/>
                      <a:ext cx="4572000" cy="1873518"/>
                    </a:xfrm>
                    <a:prstGeom prst="rect"/>
                  </pic:spPr>
                </pic:pic>
              </a:graphicData>
            </a:graphic>
          </wp:inline>
        </w:drawing>
      </w:r>
    </w:p>
    <w:p>
      <w:pPr>
        <w:pStyle w:val="figurecaption"/>
      </w:pPr>
      <w:r>
        <w:t>Fig. 7. Tool-call chain depth across five scenarios of increasing complexity. Blue: tools in chain; Green: actual rounds required.</w:t>
      </w:r>
    </w:p>
    <w:p>
      <w:pPr>
        <w:jc w:val="center"/>
      </w:pPr>
      <w:r>
        <w:t>Analysis. The ReAct loop with maximum 20 rounds provides sufficient headroom for even the most complex chains. Graceful degradation proves essential: rather than failing when a platform is unavailable, the system continues with reduced fidelity, allowing the reasoning chain to complete. This design choice trades accuracy for availability, which is appropriate for research environments where not all tools are always accessible.</w:t>
      </w:r>
    </w:p>
    <w:p>
      <w:pPr>
        <w:pStyle w:val="heading2"/>
        <w:jc w:val="center"/>
      </w:pPr>
      <w:r>
        <w:t>Experiment 4: Cross-Agent Information Flow</w:t>
      </w:r>
    </w:p>
    <w:p>
      <w:pPr>
        <w:pStyle w:val="p1a"/>
      </w:pPr>
      <w:r>
        <w:t>Task. We evaluate information retention and latency across four pipeline scenarios where data must flow between 2-5 specialized agents, carrying 2-8 structured data objects (design IDs, simulation results, Hamiltonian models, diagnosis reports).</w:t>
      </w:r>
    </w:p>
    <w:p>
      <w:pPr/>
      <w:r>
        <w:t>Results. Information retention ranges from 95% for simple two-agent pipelines (Design-to-Simulation) to 85% for complex four-agent pipelines (Measurement-to-Redesign). End-to-end latency ranges from 12 seconds (two agents) to 65 seconds (five agents). The full lifecycle scenario involving five agents and eight data objects achieves 88% retention in 65 seconds.</w:t>
      </w:r>
    </w:p>
    <w:p>
      <w:pPr>
        <w:jc w:val="center"/>
      </w:pPr>
      <w:r>
        <w:drawing>
          <wp:inline xmlns:a="http://schemas.openxmlformats.org/drawingml/2006/main" xmlns:pic="http://schemas.openxmlformats.org/drawingml/2006/picture">
            <wp:extent cx="5029200" cy="1835767"/>
            <wp:docPr id="9" name="Picture 9"/>
            <wp:cNvGraphicFramePr>
              <a:graphicFrameLocks noChangeAspect="1"/>
            </wp:cNvGraphicFramePr>
            <a:graphic>
              <a:graphicData uri="http://schemas.openxmlformats.org/drawingml/2006/picture">
                <pic:pic>
                  <pic:nvPicPr>
                    <pic:cNvPr id="0" name="fig8_cross_agent.png"/>
                    <pic:cNvPicPr/>
                  </pic:nvPicPr>
                  <pic:blipFill>
                    <a:blip r:embed="rId29"/>
                    <a:stretch>
                      <a:fillRect/>
                    </a:stretch>
                  </pic:blipFill>
                  <pic:spPr>
                    <a:xfrm>
                      <a:off x="0" y="0"/>
                      <a:ext cx="5029200" cy="1835767"/>
                    </a:xfrm>
                    <a:prstGeom prst="rect"/>
                  </pic:spPr>
                </pic:pic>
              </a:graphicData>
            </a:graphic>
          </wp:inline>
        </w:drawing>
      </w:r>
    </w:p>
    <w:p>
      <w:pPr>
        <w:pStyle w:val="figurecaption"/>
      </w:pPr>
      <w:r>
        <w:t>Fig. 8. Cross-agent pipeline performance showing information retention (left) and end-to-end latency (right) across four pipeline scenarios of increasing complexity.</w:t>
      </w:r>
    </w:p>
    <w:p>
      <w:pPr/>
      <w:r>
        <w:t>Analysis. Information loss occurs primarily at agent boundaries where context truncation is necessary to fit within LLM context windows. The conversation pipeline protocol mitigates this by persisting all tool results externally, allowing downstream agents to retrieve complete data objects by ID rather than relying on summarized context. Latency scales approximately linearly with pipeline length, dominated by LLM inference time (~10 seconds per agent invocation).</w:t>
      </w:r>
    </w:p>
    <w:p>
      <w:pPr>
        <w:pStyle w:val="heading2"/>
      </w:pPr>
      <w:r>
        <w:t>Experiment 5: Heartbeat Autonomous Discovery</w:t>
      </w:r>
    </w:p>
    <w:p>
      <w:pPr>
        <w:pStyle w:val="p1a"/>
      </w:pPr>
      <w:r>
        <w:t>Task. We evaluate the four-tier heartbeat engine over a simulated 24-hour monitoring period, measuring the quantity, quality, and actionability of autonomously generated discoveries.</w:t>
      </w:r>
    </w:p>
    <w:p>
      <w:pPr>
        <w:jc w:val="center"/>
      </w:pPr>
      <w:r>
        <w:t>Results. The engine produces 8 discoveries across the four tiers with 87.5% actionable rate. Tier L0 (5-minute cadence) performs 288 checks and surfaces 3 operational discoveries including an equipment alarm and ETL pipeline stoppage. Tier L1 (6-hour) performs 4 checks and identifies yield degradation below the 90% threshold. Tier L2 (12-hour) detects a qubit with T1 below the 35 microsecond threshold and a frequency drift anomaly. Most significantly, Tier L3 (24-hour) discovers a cross-domain correlation between fabrication yield and calibration fidelity (99.2% vs. 97.8% in high-yield vs. low-yield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r>
        <w:t>Analysis. The L3 cross-domain discovery is particularly noteworthy because it requires joining data from the manufacturing execution system (CHIPMES) with measurement data from the calibration database, a correlation that would typically require a human data analyst to hypothesize and manually verify. This demonstrates that autonomous background monitoring can surface non-obvious insights by systematically exploring cross-domain relationships that humans might overlook due to data siloing.</w:t>
      </w:r>
    </w:p>
    <w:p>
      <w:pPr/>
      <w:r/>
    </w:p>
    <w:p>
      <w:pPr/>
      <w:r/>
    </w:p>
    <w:p>
      <w:pPr/>
      <w:r/>
    </w:p>
    <w:p>
      <w:pPr/>
      <w:r/>
    </w:p>
    <w:p>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r/>
    </w:p>
    <w:p>
      <w:pPr/>
      <w:r/>
    </w:p>
    <w:p>
      <w:pPr/>
      <w:r/>
    </w:p>
    <w:p>
      <w:pPr/>
      <w:r/>
    </w:p>
    <w:p>
      <w:pPr/>
      <w:r/>
    </w:p>
    <w:p>
      <w:pPr>
        <w:jc w:val="center"/>
      </w:pPr>
      <w:r/>
    </w:p>
    <w:p>
      <w:pPr>
        <w:jc w:val="center"/>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r/>
    </w:p>
    <w:p>
      <w:pPr>
        <w:jc w:val="center"/>
      </w:pPr>
      <w:r/>
    </w:p>
    <w:p>
      <w:pPr>
        <w:jc w:val="center"/>
      </w:pPr>
      <w:r/>
    </w:p>
    <w:p>
      <w:pPr/>
      <w:r/>
    </w:p>
    <w:p>
      <w:pPr/>
      <w:r/>
    </w:p>
    <w:p>
      <w:pPr/>
      <w:r/>
    </w:p>
    <w:p>
      <w:pPr/>
      <w:r/>
    </w:p>
    <w:p>
      <w:pPr/>
      <w:r/>
    </w:p>
    <w:p>
      <w:pPr/>
      <w:r/>
    </w:p>
    <w:p>
      <w:pPr/>
      <w:r/>
    </w:p>
    <w:p>
      <w:pPr/>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r>
        <w:t>The experimental results reveal a clear advantage of specialized multi-agent orchestration over monolithic approaches for complex quantum hardware tasks. The 42% reduction in reasoning rounds (Experiment 1) demonstrates that domain-specific tool filtering substantially reduces the search space for tool selection, while the 84% routing accuracy (Experiment 2) shows that even a simple keyword-based mechanism can effectively dispatch most queries to the appropriate specialist. The remaining 16% of routing errors concentrate on inherently ambiguous cross-domain queries, suggesting that the performance ceiling for keyword-based routing has been approached and that learned routing models or collaborative multi-agent responses may be needed for further improvement.</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r>
        <w:t>A particularly promising direction is the integration of formal verification methods for AI-generated quantum device designs. While the current system provides physics-structured guardrails through the theoretical physicist's module architecture, it does not formally guarantee that generated designs satisfy all specifications. Future work could incorporate constraint checking modules that verify frequency collision avoidance, minimum coupling strengths, and fabrication rule compliance before committing to GDS export. Additionally, the conversation pipeline protocol naturally supports retrospective analysis of agent decision-making, enabling systematic identification of failure modes and targeted improvement of individual agent capabilities.</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2"/>
      </w:pPr>
      <w:r>
        <w:t>Broader Impact and Societal Considerations</w:t>
      </w:r>
    </w:p>
    <w:p>
      <w:pPr>
        <w:pStyle w:val="p1a"/>
      </w:pPr>
      <w:r>
        <w:t>The development of AI-assisted quantum hardware design raises several broader considerations. On the positive side, systems like AetherQ have the potential to democratize access to quantum chip design expertise, enabling smaller research groups and emerging quantum computing programs to iterate on chip designs more efficiently. The structured knowledge base and diagnostic capabilities can serve as an educational tool, helping junior researchers understand the complex relationships between design parameters, fabrication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fabrication constraints, safety requirements, and project objectives. The graceful degradation mechanism, while ensuring system availability, also means that recommendations may sometimes be based on analytical approximations rather than full electromagnetic simulations, and users must be aware of the confidence level associated with each output. Future work should explore formal verification methods for AI-generated quantum device designs, ensuring that critical specifications are provably satisfied before committing to fabrication.</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