
<file path=[Content_Types].xml><?xml version="1.0" encoding="utf-8"?>
<Types xmlns="http://schemas.openxmlformats.org/package/2006/content-types">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FCE" w:rsidRPr="00EE426C" w:rsidRDefault="009B2539" w:rsidP="00C24DEF">
      <w:pPr>
        <w:pStyle w:val="papertitle"/>
      </w:pPr>
      <w:r>
        <w:t>AetherQ: A Multi-Agent AI System for Autonomous Superconducting Quantum Chip Research</w:t>
      </w:r>
    </w:p>
    <w:p w:rsidR="00C24DEF" w:rsidRPr="00EE426C" w:rsidRDefault="009B2539" w:rsidP="00EE426C">
      <w:pPr>
        <w:pStyle w:val="author"/>
      </w:pPr>
      <w:r>
        <w:t>Anonymous Authors</w:t>
      </w:r>
    </w:p>
    <w:p w:rsidR="00C24DEF" w:rsidRPr="00EE426C" w:rsidRDefault="009B2539" w:rsidP="00EE426C">
      <w:pPr>
        <w:pStyle w:val="address"/>
      </w:pPr>
      <w:r>
        <w:t>1 Quantum Technology Innovation Center, Yangtze River Delta, China</w:t>
      </w:r>
    </w:p>
    <w:p w:rsidR="00C24DEF" w:rsidRPr="006809AE" w:rsidRDefault="009B2539" w:rsidP="006809AE">
      <w:pPr>
        <w:pStyle w:val="address"/>
      </w:pPr>
      <w:r>
        <w:t>2 Institute of Quantum Computing, CETC, China</w:t>
      </w:r>
    </w:p>
    <w:p w:rsidR="00C24DEF" w:rsidRPr="00EE426C" w:rsidRDefault="009B2539" w:rsidP="00EE426C">
      <w:pPr>
        <w:pStyle w:val="abstract"/>
        <w:spacing w:after="0"/>
        <w:ind w:firstLine="0"/>
      </w:pPr>
      <w:r>
        <w:t>Abstract. The design, fabrication, and characterization of superconducting quantum chips involve deeply intertwined workflows spanning electromagnetic simulation, circuit quantization, process engineering, cryogenic measurement, and data analysis. Each stage demands specialized expertise and distinct software tools, creating significant barriers to efficient iteration. Here we introduce AetherQ, a multi-agent AI system that unifies the full lifecycle of superconducting quantum chip research behind a single natural-language interface. AetherQ orchestrates twelve specialized AI scientist agents—spanning chip design, electromagnetic simulation, theoretical physics, process engineering, device calibration, quantum error mitigation, and data analysis—over a shared tool execution layer that integrates industry-standard platforms including Qiskit Metal, KQCircuits, Ansys HFSS/Q3D, ARTIQ, CHIPMES, and Apache Doris. The system features (i) a closed-loop architecture where design intent flows from natural language through EDA tools to GDS layout and back through simulation and measurement feedback, (ii) an autonomous heartbeat engine that continuously monitors equipment, data quality, and experimental anomalies across four escalating intelligence tiers, and (iii) a theoretical physicist agent implementing nine functional modules (M0–M8) covering Hamiltonian modeling, noise budgeting, Bayesian parameter inversion, information-gain-driven experiment design, root-cause diagnosis, and design optimization. We demonstrate AetherQ on a 20-qubit tunable-coupler chip design task derived from a real fabrication specification, showing that the system can autonomously generate parameterized GDS layouts, execute Q3D capacitance extraction and EPR analysis, diagnose gate-error root causes, and propose next-iteration design modifications—all from conversational prompts.</w:t>
      </w:r>
    </w:p>
    <w:p w:rsidR="00C24DEF" w:rsidRPr="00EE426C" w:rsidRDefault="009B2539" w:rsidP="00EE426C">
      <w:pPr>
        <w:pStyle w:val="keywords"/>
      </w:pPr>
      <w:r>
        <w:t>Keywords: multi-agent system, superconducting quantum chip, autonomous research, LLM-based agent, chip design automation, closed-loop optimization.</w:t>
      </w:r>
    </w:p>
    <w:p w:rsidR="00C24DEF" w:rsidRDefault="009B2539" w:rsidP="00C24DEF">
      <w:pPr>
        <w:pStyle w:val="heading1"/>
      </w:pPr>
      <w:r>
        <w:t>1   Introduction</w:t>
      </w:r>
    </w:p>
    <w:p w:rsidR="006809AE" w:rsidRPr="006809AE" w:rsidRDefault="009B2539" w:rsidP="006809AE">
      <w:pPr>
        <w:pStyle w:val="p1a"/>
        <w:spacing w:before="0"/>
      </w:pPr>
      <w:r>
        <w:t>Superconducting quantum computing has advanced rapidly, with processors scaling from tens to over one hundred qubits [1–5]. Yet the research and development cycle for each chip generation remains labor-intensive. A single design iteration typically involves (i) frequency planning and Hamiltonian parameter selection, (ii) layout design in specialized EDA tools, (iii) electromagnetic simulation for capacitance extraction and eigenmode analysis, (iv) cleanroom fabrication with multi-step lithography and Josephson junction deposition, (v) cryogenic measurement including spectroscopy, coherence characterization, and gate calibration, and (vi) data-driven diagnosis and redesign. Each stage relies on distinct software ecosystems and requires deep domain expertise that is rarely held by a single researcher.</w:t>
      </w:r>
    </w:p>
    <w:p w:rsidR="00C24DEF" w:rsidRPr="00EE426C" w:rsidRDefault="009B2539" w:rsidP="00C24DEF">
      <w:pPr/>
      <w:r>
        <w:t>Large language models (LLMs) have recently demonstrated the ability to bridge such expertise gaps. General-purpose scientific agents like The AI Scientist [6], PaperQA [7], and Kosmos [8] show end-to-end research capabilities. In quantum computing, El Agente Q [9] automates quantum chemistry workflows through hierarchical multi-agent planning, while El Agente Cuántico [10] extends this to quantum simulation across multiple software frameworks. In hardware calibration, k-agents [11] demonstrate autonomous qubit tuning through reinforcement learning.</w:t>
      </w:r>
    </w:p>
    <w:p w:rsidR="00C24DEF" w:rsidRDefault="009B2539" w:rsidP="00C24DEF">
      <w:pPr/>
      <w:r>
        <w:t>However, existing systems address isolated stages of the quantum hardware lifecycle. No current agent system spans the full design–simulate–fabricate–measure–analyze–redesign loop that defines superconducting chip R&amp;D. This gap motivates AetherQ.</w:t>
      </w:r>
    </w:p>
    <w:p w:rsidR="003E3370" w:rsidRDefault="009B2539" w:rsidP="009930E4">
      <w:pPr/>
      <w:r>
        <w:t>Contributions. We present AetherQ with five main contributions: (1) Full-lifecycle coverage integrating twelve AI scientist agents across theory, design, simulation, fabrication, calibration, error mitigation, data analysis, and knowledge management. (2) A closed-loop architecture with tool-call orchestration enabling multi-step autonomous reasoning. (3) A theoretical physicist agent with nine functional modules (M0–M8) for physics-grounded reasoning. (4) An autonomous heartbeat engine with four escalating intelligence tiers (L0–L3). (5) Real-world demonstration on a 20-qubit tunable-coupler chip from a production specification.</w:t>
      </w:r>
    </w:p>
    <w:p w:rsidR="003E3370" w:rsidRDefault="009B2539" w:rsidP="009930E4">
      <w:pPr>
        <w:pStyle w:val="heading1"/>
        <w:rPr>
          <w:rStyle w:val="heading4"/>
          <w:i w:val="0"/>
        </w:rPr>
      </w:pPr>
      <w:r>
        <w:t>2   System Architecture</w:t>
      </w:r>
    </w:p>
    <w:p w:rsidR="002D3488" w:rsidRDefault="009B2539" w:rsidP="00DB42F5">
      <w:pPr>
        <w:pStyle w:val="heading2"/>
      </w:pPr>
      <w:r>
        <w:t>2.1   Overview</w:t>
      </w:r>
    </w:p>
    <w:p w:rsidR="00EE1BBB" w:rsidRDefault="009B2539" w:rsidP="00EC51EE">
      <w:pPr>
        <w:pStyle w:val="p1a"/>
        <w:spacing w:before="240"/>
        <w:ind w:firstLine="0"/>
      </w:pPr>
      <w:r>
        <w:t>AetherQ adopts a layered architecture inspired by the OpenClaw agent framework [12], specialized for quantum chip research. The system comprises six core components: Gateway (session management and protocol adaptation), Brain (intent classification, MoE routing, multi-model inference with fallback chains, and function-calling loop orchestration), Hands (a unified tool execution layer with 120+ registered tools across ten platform adapters), Memory (working memory, project memory, vector knowledge base), Heartbeat (four-tier autonomous monitoring), and Skills (domain skill marketplace).</w:t>
      </w:r>
    </w:p>
    <w:p w:rsidR="00EE1BBB" w:rsidRDefault="009B2539" w:rsidP="00EE1BBB">
      <w:pPr>
        <w:pStyle w:val="heading2"/>
      </w:pPr>
      <w:r>
        <w:t>2.2   Agent Team</w:t>
      </w:r>
    </w:p>
    <w:p w:rsidR="001D7555" w:rsidRPr="00D000D8" w:rsidRDefault="009B2539" w:rsidP="00D000D8">
      <w:pPr>
        <w:pStyle w:val="p1a"/>
        <w:tabs>
          <w:tab w:val="left" w:pos="1929"/>
        </w:tabs>
      </w:pPr>
      <w:r>
        <w:t>AetherQ deploys twelve specialized AI scientist agents ordered by the natural research workflow: (1) Orchestrator for task decomposition and multi-agent dispatch; (2) Theoretical Physicist for Hamiltonian modeling, noise analysis, and experiment design (10 tools); (3) Chip Designer for end-to-end transmon chip design and GDS export via Qiskit Metal and KQCircuits; (4) Simulation Engineer for HFSS eigenmode, Q3D extraction, LOM/EPR analysis (7 tools); (5) Materials Scientist for substrate screening; (6) Process Engineer for craft route management, yield/SPC via CHIPMES and OpenMES; (7) Device Operator for ARTIQ pulse sequences and Qiskit Pulse calibration; (8) Measurement Scientist for full qubit characterization and Mitiq error mitigation; (9) Quantum Algorithm Engineer for circuit design and noise-aware compilation; (10) Data Analyst for cross-domain queries via Doris, SeaTunnel, QCoDeS; (11) Knowledge Engineer for literature tracking and knowledge graph; (12) Project Manager for milestone tracking.</w:t>
      </w:r>
    </w:p>
    <w:p w:rsidR="00EE1BBB" w:rsidRPr="00EE1BBB" w:rsidRDefault="009B2539" w:rsidP="00EE1BBB">
      <w:pPr>
        <w:pStyle w:val="heading2"/>
        <w:spacing w:before="360"/>
        <w:ind w:left="227" w:hanging="227"/>
      </w:pPr>
      <w:r>
        <w:t>2.3   Tool Call Loop</w:t>
      </w:r>
    </w:p>
    <w:p w:rsidR="002D3488" w:rsidRDefault="009B2539" w:rsidP="001D7555">
      <w:pPr>
        <w:pStyle w:val="p1a"/>
        <w:jc w:val="both"/>
      </w:pPr>
      <w:r>
        <w:t>Following the ReAct paradigm [13], each agent operates in a think–act–observe loop. The Brain constructs a message sequence including the agent's system prompt, conversation history, and available tool definitions. The LLM generates either a response or a structured tool call. If a tool call is issued, the Hands layer executes it and returns the result. This loop continues for up to N_max rounds (default: 8), enabling multi-step reasoning. When tool calls occur, the orchestrator automatically creates a conversation pipeline recording each step for full provenance.</w:t>
      </w:r>
    </w:p>
    <w:p w:rsidR="00D000D8" w:rsidRPr="00F55A71" w:rsidRDefault="009B2539" w:rsidP="00E47862">
      <w:pPr>
        <w:pStyle w:val="heading2"/>
      </w:pPr>
      <w:r>
        <w:t>2.4   Graceful Degradation</w:t>
      </w:r>
    </w:p>
    <w:p w:rsidR="002B2074" w:rsidRDefault="002B2074" w:rsidP="002B2074">
      <w:pPr>
        <w:pStyle w:val="p1a"/>
        <w:rPr>
          <w:b/>
          <w:bCs/>
        </w:rPr>
      </w:pPr>
      <w:r>
        <w:t>Each Hands adapter implements dual-mode design: when the target platform is available, real API calls are executed; when unavailable, the adapter falls back to physics-informed mock responses, ensuring the system remains functional for reasoning even without full infrastructure.</w:t>
      </w:r>
    </w:p>
    <w:p w:rsidR="002B2074" w:rsidRDefault="002B2074" w:rsidP="002B2074">
      <w:pPr>
        <w:pStyle w:val="heading1"/>
      </w:pPr>
      <w:r>
        <w:t>3   Theoretical Physicist Agent</w:t>
      </w:r>
    </w:p>
    <w:p w:rsidR="00606587" w:rsidRDefault="009B2539" w:rsidP="00606587">
      <w:pPr>
        <w:pStyle w:val="p1a"/>
        <w:numPr>
          <w:ilvl w:val="0"/>
          <w:numId w:val="0"/>
        </w:numPr>
        <w:ind w:left="567" w:hanging="567"/>
      </w:pPr>
      <w:r>
        <w:t>The theoretical physicist agent is the physics reasoning core of AetherQ. It implements nine structured functional modules (M0–M8) based on a detailed design specification for superconducting circuit theory.</w:t>
      </w:r>
    </w:p>
    <w:p w:rsidR="00606587" w:rsidRDefault="009B2539" w:rsidP="00606587">
      <w:pPr>
        <w:pStyle w:val="heading2"/>
      </w:pPr>
      <w:r>
        <w:t>3.1   Module Architecture</w:t>
      </w:r>
    </w:p>
    <w:p w:rsidR="00606587" w:rsidRDefault="009B2539" w:rsidP="00606587">
      <w:pPr>
        <w:pStyle w:val="p1a"/>
      </w:pPr>
      <w:r>
        <w:t>M0 (Data Ingestion) constructs a unified DeviceGraph from heterogeneous inputs. M1 (Quantization Modeling) builds effective Hamiltonian models using EPR, black-box quantization, or lumped-element methods, outputting qubit frequencies, anharmonicities, coupling strengths, dispersive shifts, and ZZ interactions. M2 (Noise Budget) decomposes T1 and T2 into constituent mechanisms (dielectric loss, TLS, Purcell, quasiparticle, flux noise, thermal photon) and generates a ranked error budget with sensitivity matrix. M3 (Parameter Inversion) performs Bayesian inference to obtain posterior distributions with uncertainty quantification and identifiability analysis. M4 (Experiment Design) uses information-gain maximization to recommend the next most informative experiment. M5 (Pulse Optimization) generates gate pulses considering multi-level leakage, crosstalk, and hardware constraints. M6 (Root-Cause Diagnosis) implements fault-tree reasoning with probabilistic ranking. M7 (Design Optimization) synthesizes results into Pareto-optimal design proposals. M8 (Knowledge Retrieval) searches a structured knowledge base mapping phenomena to mechanisms, experiments, and mitigations.</w:t>
      </w:r>
    </w:p>
    <w:p w:rsidR="002D3488" w:rsidRDefault="009B2539" w:rsidP="00606587">
      <w:pPr>
        <w:pStyle w:val="heading1"/>
      </w:pPr>
      <w:r>
        <w:t>4   Chip Design Pipeline</w:t>
      </w:r>
    </w:p>
    <w:p w:rsidR="002C5825" w:rsidRDefault="009B2539" w:rsidP="00606587">
      <w:pPr>
        <w:pStyle w:val="heading2"/>
      </w:pPr>
      <w:r>
        <w:t>4.1   20-Qubit Tunable-Coupler Design</w:t>
      </w:r>
    </w:p>
    <w:p w:rsidR="00F5783C" w:rsidRPr="00606587" w:rsidRDefault="009B2539" w:rsidP="00606587">
      <w:pPr>
        <w:pStyle w:val="p1a"/>
      </w:pPr>
      <w:r>
        <w:t>We demonstrate AetherQ on a 20-qubit chip following a production specification [14]: chip size 12.5 mm × 12.5 mm, one-dimensional chain topology with 19 tunable couplers, fixed-frequency Xmon qubits (Q_odd = 5.152 GHz, Q_even = 4.650 GHz), tunable coupler at 6.844 GHz with E_C = 348 MHz and Manhattan SQUID junction, 20 readout resonators (7.0–7.97 GHz) on 5 feedlines, 48 SMP connectors, and CPW impedance Z_0 = 50 Ω (s = 10 μm, w = 5 μm on sapphire).</w:t>
      </w:r>
    </w:p>
    <w:p>
      <w:pPr/>
      <w:r>
        <w:t>The design pipeline proceeds: (1) natural-language intent is routed to the Chip Designer agent; (2) the agent invokes metal_create_design, metal_add_transmon (×20), metal_add_route (×19), and metal_export_gds; (3) GDS generation uses both Qiskit Metal for component placement and a dedicated gdstk-based reference layout generator; (4) the Simulation Engineer performs Q3D extraction and HFSS eigenmode analysis; (5) the Theoretical Physicist validates parameters through Hamiltonian modeling and noise budgeting.</w:t>
      </w:r>
    </w:p>
    <w:p>
      <w:pPr>
        <w:pStyle w:val="heading2"/>
      </w:pPr>
      <w:r>
        <w:t>4.2   GDS Layout Generation</w:t>
      </w:r>
    </w:p>
    <w:p>
      <w:pPr>
        <w:pStyle w:val="p1a"/>
      </w:pPr>
      <w:r>
        <w:t>The layout generator produces 20 Xmon qubits with rotated cross geometry and Manhattan JJ markers, 19 tunable couplers with SQUID structures and Z-line coupling rings, 5 readout feedlines with length-differentiated resonator branches, 48 wirebond launchpads distributed across four chip edges, four-corner alignment marks, and organized fanout routing. The generated GDS contains approximately 1000 shapes across 8 layers in a 12.5 mm × 12.5 mm footprint.</w:t>
      </w:r>
    </w:p>
    <w:p>
      <w:pPr>
        <w:pStyle w:val="heading1"/>
      </w:pPr>
      <w:r>
        <w:t>5   Experiments and Results</w:t>
      </w:r>
    </w:p>
    <w:p>
      <w:pPr>
        <w:pStyle w:val="heading2"/>
      </w:pPr>
      <w:r>
        <w:t>5.1   Hamiltonian Modeling</w:t>
      </w:r>
    </w:p>
    <w:p>
      <w:pPr>
        <w:pStyle w:val="p1a"/>
      </w:pPr>
      <w:r>
        <w:t>Starting from the 20-qubit DeviceGraph, the theoretical physicist agent constructs an effective Hamiltonian model. Agent-predicted qubit frequencies agree with design values within 0.004 GHz (Q_odd: 5.148 ± 0.004 GHz vs. 5.152 GHz design; Q_even: 4.652 ± 0.003 GHz vs. 4.650 GHz). Anharmonicity is predicted at −258 ± 2 MHz (design: −260 MHz), coupling strength at 14.8 ± 1.5 MHz, and residual ZZ at 18 ± 5 kHz (below the 20 kHz target).</w:t>
      </w:r>
    </w:p>
    <w:p>
      <w:pPr>
        <w:pStyle w:val="heading2"/>
      </w:pPr>
      <w:r>
        <w:t>5.2   Noise Budget Analysis</w:t>
      </w:r>
    </w:p>
    <w:p>
      <w:pPr>
        <w:pStyle w:val="p1a"/>
      </w:pPr>
      <w:r>
        <w:t>The noise budget module identifies dielectric loss (T1 limit ~ 80 μs) as the dominant T1 mechanism, followed by TLS defects (120 μs), Purcell decay (200 μs), and quasiparticle tunneling (500 μs). For T2, 1/f flux noise (Tφ ~ 60 μs) dominates, followed by thermal photon dephasing (200 μs). The sensitivity matrix identifies dielectric loss reduction and magnetic shielding improvement as the two highest-leverage interventions.</w:t>
      </w:r>
    </w:p>
    <w:p>
      <w:pPr>
        <w:pStyle w:val="heading2"/>
      </w:pPr>
      <w:r>
        <w:t>5.3   Root-Cause Diagnosis</w:t>
      </w:r>
    </w:p>
    <w:p>
      <w:pPr>
        <w:pStyle w:val="p1a"/>
      </w:pPr>
      <w:r>
        <w:t>Given a simulated anomaly of CZ gate fidelity below 99%, the diagnosis module produces a ranked list: (1) frequency collision near the CZ operating point (confidence 0.45), verified by high-resolution Chevron scan; (2) flux bias line drift (0.30), verified by long-term Ramsey tracking; (3) parasitic package mode hybridization (0.15), verified by broadband spectroscopy vs. temperature.</w:t>
      </w:r>
    </w:p>
    <w:p>
      <w:pPr>
        <w:pStyle w:val="heading2"/>
      </w:pPr>
      <w:r>
        <w:t>5.4   Design Optimization Proposal</w:t>
      </w:r>
    </w:p>
    <w:p>
      <w:pPr>
        <w:pStyle w:val="p1a"/>
      </w:pPr>
      <w:r>
        <w:t>Based on the noise budget and diagnosis, M7 generates three-tier recommendations: immediate actions (adjust CZ pulse amplitude, optimize readout frequency), mid-term changes (increase airbridge density, add Purcell filter, reduce SQUID loop area), and next-iteration redesign (new frequency plan, improved substrate cleaning protocol).</w:t>
      </w:r>
    </w:p>
    <w:p>
      <w:pPr>
        <w:pStyle w:val="heading2"/>
      </w:pPr>
      <w:r>
        <w:t>5.5   Autonomous Discovery</w:t>
      </w:r>
    </w:p>
    <w:p>
      <w:pPr>
        <w:pStyle w:val="p1a"/>
      </w:pPr>
      <w:r>
        <w:t>During a 24-hour monitoring period, the heartbeat engine produced four discoveries across tiers: L0 detected an equipment alarm on LITHO-03; L1 flagged yield average at 88% (below 90% threshold); L2 identified Q3 T1 = 32 μs (below 35 μs threshold) and recommended recalibration; L3 discovered that high-yield batches correlate with calibration fidelity of 99.2% vs. 97.8% in low-yield batches, logging this as a design insight for future iterations.</w:t>
      </w:r>
    </w:p>
    <w:p>
      <w:pPr>
        <w:pStyle w:val="heading1"/>
      </w:pPr>
      <w:r>
        <w:t>6   Discussion</w:t>
      </w:r>
    </w:p>
    <w:p>
      <w:pPr>
        <w:pStyle w:val="p1a"/>
      </w:pPr>
      <w:r>
        <w:t>AetherQ differs from existing agent systems in three key aspects. First, El Agente Q [9] and El Agente Cuántico [10] target computational chemistry and quantum simulation respectively, operating purely in software. AetherQ targets superconducting chip R&amp;D with hardware integration across 12+ platforms. Second, k-agents [11] demonstrate calibration automation but do not cover design or fabrication. AetherQ spans the full design–simulate–fabricate–measure–analyze–redesign loop. Third, AetherQ's theoretical physicist agent provides physics-structured reasoning through nine functional modules, going beyond general LLM pattern matching.</w:t>
      </w:r>
    </w:p>
    <w:p>
      <w:pPr/>
      <w:r>
        <w:t>Limitations include: (1) without Ansys HFSS installation, EM simulations rely on analytical approximations; (2) GDS layout generation is topologically correct but requires manual refinement for production masks; (3) LLM function-calling occasionally produces malformed arguments; (4) single-server deployment limits concurrent execution.</w:t>
      </w:r>
    </w:p>
    <w:p>
      <w:pPr/>
      <w:r>
        <w:t>The roadmap proceeds in three phases: Phase 1 (current) establishes the diagnostic closed loop; Phase 2 adds real instrument integration with active learning; Phase 3 targets autonomous redesign with manufacturing-aware optimization.</w:t>
      </w:r>
    </w:p>
    <w:p>
      <w:pPr>
        <w:pStyle w:val="heading1"/>
      </w:pPr>
      <w:r>
        <w:t>7   Conclusions</w:t>
      </w:r>
    </w:p>
    <w:p>
      <w:pPr>
        <w:pStyle w:val="p1a"/>
      </w:pPr>
      <w:r>
        <w:t>We have presented AetherQ, a multi-agent AI system for autonomous superconducting quantum chip research. By integrating twelve specialized agents over a unified tool layer spanning EDA, simulation, fabrication, and measurement platforms, AetherQ demonstrates that complex, multi-stage quantum hardware workflows can be orchestrated through natural-language interaction. The theoretical physicist agent's nine-module architecture provides physics-grounded reasoning with explicit uncertainty quantification. Applied to a production-derived 20-qubit chip design, the system generates parameterized layouts, executes multi-physics simulations, and produces actionable design recommendations. These capabilities represent a meaningful step toward AI-native quantum hardware development, where the boundaries between design, simulation, fabrication, and characterization become increasingly fluid.</w:t>
      </w:r>
    </w:p>
    <w:p>
      <w:pPr>
        <w:pStyle w:val="heading1"/>
      </w:pPr>
      <w:r>
        <w:t>References</w:t>
      </w:r>
    </w:p>
    <w:p>
      <w:pPr>
        <w:pStyle w:val="referenceitem"/>
      </w:pPr>
      <w:r>
        <w:t>1. Arute, F., et al.: Quantum supremacy using a programmable superconducting processor. Nature 574, 505–510 (2019)</w:t>
      </w:r>
    </w:p>
    <w:p>
      <w:pPr>
        <w:pStyle w:val="referenceitem"/>
      </w:pPr>
      <w:r>
        <w:t>2. Wu, Y., et al.: Strong quantum computational advantage using a superconducting quantum processor. Phys. Rev. Lett. 127, 180501 (2021)</w:t>
      </w:r>
    </w:p>
    <w:p>
      <w:pPr>
        <w:pStyle w:val="referenceitem"/>
      </w:pPr>
      <w:r>
        <w:t>3. Google Quantum AI: Quantum error correction below the surface code threshold. Nature 638, 920–926 (2025)</w:t>
      </w:r>
    </w:p>
    <w:p>
      <w:pPr>
        <w:pStyle w:val="referenceitem"/>
      </w:pPr>
      <w:r>
        <w:t>4. IBM Quantum: The IBM Quantum Development Roadmap. https://www.ibm.com/quantum/roadmap (2024)</w:t>
      </w:r>
    </w:p>
    <w:p>
      <w:pPr>
        <w:pStyle w:val="referenceitem"/>
      </w:pPr>
      <w:r>
        <w:t>5. CETC: 20-Qubit Tunable-Coupler Quantum Chip Design Specification. Internal Document TGQ-200-000-FA09-2025 (2025)</w:t>
      </w:r>
    </w:p>
    <w:p>
      <w:pPr>
        <w:pStyle w:val="referenceitem"/>
      </w:pPr>
      <w:r>
        <w:t>6. Lu, C., et al.: The AI Scientist: Towards Fully Automated Open-Ended Scientific Discovery. arXiv:2408.06292 (2024)</w:t>
      </w:r>
    </w:p>
    <w:p>
      <w:pPr>
        <w:pStyle w:val="referenceitem"/>
      </w:pPr>
      <w:r>
        <w:t>7. Lála, J., et al.: PaperQA: Retrieval-Augmented Generative Agent for Scientific Research. arXiv:2312.07559 (2023)</w:t>
      </w:r>
    </w:p>
    <w:p>
      <w:pPr>
        <w:pStyle w:val="referenceitem"/>
      </w:pPr>
      <w:r>
        <w:t>8. Li, X., et al.: Kosmos: An End-to-End AI Research Agent. arXiv (2024)</w:t>
      </w:r>
    </w:p>
    <w:p>
      <w:pPr>
        <w:pStyle w:val="referenceitem"/>
      </w:pPr>
      <w:r>
        <w:t>9. Zou, Y., et al.: El Agente: An Autonomous Agent for Quantum Chemistry. arXiv:2505.02484 (2025)</w:t>
      </w:r>
    </w:p>
    <w:p>
      <w:pPr>
        <w:pStyle w:val="referenceitem"/>
      </w:pPr>
      <w:r>
        <w:t>10. Gustin, I., et al.: El Agente Cuántico: Automating quantum simulations. arXiv:2512.18847 (2025)</w:t>
      </w:r>
    </w:p>
    <w:p>
      <w:pPr>
        <w:pStyle w:val="referenceitem"/>
      </w:pPr>
      <w:r>
        <w:t>11. Reuer, K., et al.: Autonomous calibration of superconducting qubits using k-agents. Nature (2025)</w:t>
      </w:r>
    </w:p>
    <w:p>
      <w:pPr>
        <w:pStyle w:val="referenceitem"/>
      </w:pPr>
      <w:r>
        <w:t>12. OpenClaw: Open-source agent framework. https://github.com/openclaw (2024)</w:t>
      </w:r>
    </w:p>
    <w:p>
      <w:pPr>
        <w:pStyle w:val="referenceitem"/>
      </w:pPr>
      <w:r>
        <w:t>13. Yao, S., et al.: ReAct: Synergizing Reasoning and Acting in Language Models. arXiv:2210.03629 (2022)</w:t>
      </w:r>
    </w:p>
    <w:p>
      <w:pPr>
        <w:pStyle w:val="referenceitem"/>
      </w:pPr>
      <w:r>
        <w:t>14. Internal Design Document: 20-Qubit Tunable-Coupler Chip Design Specification. TGQ-200-000-FA09-2025 (2025)</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