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A Multi-Agent AI System for Autonomous Superconducting Quantum Chip Research</w:t>
      </w:r>
    </w:p>
    <w:p>
      <w:pPr>
        <w:pStyle w:val="author"/>
      </w:pPr>
      <w:r>
        <w:t>Wei Chen</w:t>
      </w:r>
      <w:r>
        <w:rPr>
          <w:vertAlign w:val="superscript"/>
        </w:rPr>
        <w:t>1</w:t>
      </w:r>
      <w:r>
        <w:t>, Ming Li</w:t>
      </w:r>
      <w:r>
        <w:rPr>
          <w:vertAlign w:val="superscript"/>
        </w:rPr>
        <w:t>1</w:t>
      </w:r>
      <w:r>
        <w:t>, Jian Zhang</w:t>
      </w:r>
      <w:r>
        <w:rPr>
          <w:vertAlign w:val="superscript"/>
        </w:rPr>
        <w:t>2</w:t>
      </w:r>
      <w:r>
        <w:t>, Yun Wang</w:t>
      </w:r>
      <w:r>
        <w:rPr>
          <w:vertAlign w:val="superscript"/>
        </w:rPr>
        <w:t>1</w:t>
      </w:r>
      <w:r>
        <w:t>, and Xiao Liu</w:t>
      </w:r>
      <w:r>
        <w:rPr>
          <w:vertAlign w:val="superscript"/>
        </w:rPr>
        <w:t>2</w:t>
      </w:r>
    </w:p>
    <w:p>
      <w:pPr>
        <w:pStyle w:val="address"/>
      </w:pPr>
      <w:r>
        <w:rPr>
          <w:vertAlign w:val="superscript"/>
        </w:rPr>
        <w:t>1</w:t>
      </w:r>
      <w:r>
        <w:t xml:space="preserve"> Institute of Quantum Computing, University of Science and Technology, Hefei 230026, China</w:t>
      </w:r>
    </w:p>
    <w:p>
      <w:pPr>
        <w:pStyle w:val="address"/>
      </w:pPr>
      <w:r>
        <w:rPr>
          <w:vertAlign w:val="superscript"/>
        </w:rPr>
        <w:t>2</w:t>
      </w:r>
      <w:r>
        <w:t xml:space="preserve"> Department of Electrical Engineering, Tsinghua University, Beijing 100084, China</w:t>
      </w:r>
    </w:p>
    <w:p>
      <w:pPr>
        <w:pStyle w:val="address"/>
      </w:pPr>
      <w:r>
        <w:t>{wei.chen, ming.li}@ustc.edu.cn, {jzhang, xliu}@tsinghua.edu.cn</w:t>
      </w:r>
    </w:p>
    <w:p>
      <w:pPr>
        <w:pStyle w:val="abstract"/>
      </w:pPr>
      <w:r>
        <w:rPr>
          <w:b/>
        </w:rPr>
        <w:t xml:space="preserve">Abstract. </w:t>
      </w:r>
      <w:r>
        <w:t>The design and characterization of superconducting quantum processors demands deep expertise spanning quantum physics, microwave engineering, materials science, and electronic design automation (EDA). Current workflows rely heavily on manual iteration between domain experts, creating bottlenecks that impede the pace of quantum hardware scaling. We present AetherQ, a multi-agent AI system that orchestrates twelve specialized large language model (LLM) agents to autonomously perform the full research cycle of superconducting quantum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tool-call protocol with graceful degradation. Each agent encapsulates domain knowledge within nine physics modules (M0 through M8) covering qubit parameter extraction, coupler analysis, noise budget decomposition, anomaly diagnosis, experiment planning, electromagnetic simulation orchestration, gate pulse optimization, design proposal synthesis, and GDS layout generation. We validate AetherQ on a 20-qubit transmon chip with tunable couplers, demonstrating autonomous Hamiltonian construction for 20 qubits and 19 couplers, noise budget analysis identifying dielectric loss (39.5%) and TLS defects (25.9%) as dominant T1 limiters, multi-hypothesis anomaly diagnosis across four failure modes, adaptive experiment planning under time-budget constraints, full-stack electromagnetic simulation (Q3D, LOM, EPR, eigenmode) for five qubits, and pulse optimization achieving predicted single-qubit gate fidelity of 99.925% and two-qubit CZ gate fidelity of 99.84%. To the best of our knowledge, AetherQ is the first system to unify LLM-based scientific reasoning with the complete superconducting quantum chip research pipeline, offering a new paradigm for AI-accelerated quantum hardware development.</w:t>
      </w:r>
    </w:p>
    <w:p>
      <w:pPr>
        <w:pStyle w:val="keywords"/>
      </w:pPr>
      <w:r>
        <w:rPr>
          <w:b/>
        </w:rPr>
        <w:t xml:space="preserve">Keywords: </w:t>
      </w:r>
      <w:r>
        <w:t>Superconducting qubits, Multi-agent systems, Large language models, Quantum chip design, Electronic design automation, Noise modeling, Pulse optimization</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validate AetherQ through six comprehensive experiments that cover the major stages of the quantum chip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Autonomous Hamiltonian Construction</w:t>
      </w:r>
    </w:p>
    <w:p>
      <w:pPr>
        <w:pStyle w:val="p1a"/>
      </w:pPr>
      <w:r>
        <w:t>Task. Construct the complete quantum Hamiltonian for a 20-qubit transmon chip with tunable couplers, including qubit parameters, coupling network, readout chain, and frequency collision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frequency collision warnings with HIGH severity, the most critical being Q16-Q17 with a detuning of only 1.1 MHz. The model sensitivity analysis reveals that the qubit frequency is most sensitive to EJ, with a sensitivity of approximately +0.03 GHz per 1% change in EJ, while the anharmonicity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coupling strengths (7.59-15.59 MHz) and ZZ interactions (-18.0 to -84.1 kHz), reflecting the non-uniform frequency distribution. Third, the frequency collision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Noise Budget Decomposition</w:t>
      </w:r>
    </w:p>
    <w:p>
      <w:pPr>
        <w:pStyle w:val="p1a"/>
      </w:pPr>
      <w:r>
        <w:t>Task. Decompose the measured T1 and T2 coherence times into contributions from individual noise mechanisms, construct a gate error budget, and identify the most impactful parameters for improvement.</w:t>
      </w:r>
    </w:p>
    <w:p>
      <w:pPr>
        <w:pStyle w:val="p1a"/>
      </w:pPr>
      <w:r>
        <w:t>Method. The Noise Analyst agent invokes Module M3, which takes the Hamiltonian model (ham_9a0ca1b4) and measured coherence times (T1 = 45 us, T2 = 30 us) as inputs. The analysis is performed at an operating temperature of 15 mK. The module computes individual T1 contributions using material-specific loss tangents and geometric participation ratios, and T2 contributions using measured noise power spectral densities.</w:t>
      </w:r>
    </w:p>
    <w:p>
      <w:pPr>
        <w:pStyle w:val="p1a"/>
      </w:pPr>
      <w:r>
        <w:t>Results. Table 5 presents the T1 and T2 noise budget decomposition. The theoretical total T1 is 30.0 us (measured 45.0 us), with the dominant contributions being dielectric loss (T1 = 76.0 us, 39.5% of total rate), TLS defects (T1 = 115.6 us, 25.9%), Purcell decay (T1 = 193.3 us, 15.5%), radiation loss (T1 = 255.9 us, 11.7%), and quasiparticle tunneling (T1 = 407.1 us, 7.4%). For T2, the theoretical total is 24.8 us (measured 30.0 us), with the T1-limited contribution at 60.0 us and the dominant pure dephasing mechanism being 1/f flux noise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pStyle w:val="p1a"/>
      </w:pPr>
      <w:r>
        <w:t>The gate error budget analysis reveals that single-qubit gates are limited primarily by coherence (0.067% error), with smaller contributions from leakage (0.013%) and control errors (0.010%), yielding a total predicted error of 0.090%. Two-qubit CZ gates have a higher total error of 0.968%, dominated by coherence-limited error (0.667%), with significant contributions from flux noise dephasing (0.126%), leakage (0.122%), and residual ZZ interaction (0.053%). Figure 7 shows the noise budget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contributions of each mechanism to T1 relaxation (left) and T2 decoherence (right). Dielectric loss and 1/f flux noise are the dominant limiters.</w:t>
      </w:r>
    </w:p>
    <w:p>
      <w:pPr>
        <w:pStyle w:val="p1a"/>
      </w:pPr>
      <w:r>
        <w:t>Analysis. The noise budget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dielectric loss tangent could yield a 20% improvement in T1, while improving magnetic shielding to reduce flux noise amplitude could improve T2 by 30%. These recommendations are automatically incorporated into the design proposal generated by Module M8. The gate error budget reveals that two-qubit gate performance is the primary bottleneck, with coherence-limited error being the dominant contributor, consistent with the relatively modest T1 and T2 values. This analysis suggests that improving coherence times should be prioritized over gate calibration optimization for the next design iteration.</w:t>
      </w:r>
    </w:p>
    <w:p>
      <w:pPr>
        <w:pStyle w:val="heading2"/>
      </w:pPr>
      <w:r>
        <w:t>Experiment 3: Multi-Hypothesis Anomaly Diagnosis</w:t>
      </w:r>
    </w:p>
    <w:p>
      <w:pPr>
        <w:pStyle w:val="p1a"/>
      </w:pPr>
      <w:r>
        <w:t>Task. Diagnose the root causes of four common performance anomalies observed in superconducting quantum processors: elevated two-qubit gate error, T1 degradation, frequency drift, and high readout error.</w:t>
      </w:r>
    </w:p>
    <w:p>
      <w:pPr>
        <w:pStyle w:val="p1a"/>
      </w:pPr>
      <w:r>
        <w:t>Method. The Diagnostician agent invokes Module M4 for each anomaly type. The module applies Bayesian reasoning to generate ranked root cause hypotheses, each annotated with confidence scores, supporting evidence, contradicting evidence, and recommended verification experiments. The diagnosis integrates information from the Hamiltonian model, noise budget, and the specific observed metrics for each anomaly.</w:t>
      </w:r>
    </w:p>
    <w:p>
      <w:pPr>
        <w:pStyle w:val="p1a"/>
      </w:pPr>
      <w:r>
        <w:t>Results. Table 6 summarizes the diagnosis results for all four anomaly types. For elevated gate error (observed fidelity 98.5%), the top-ranked hypothesis is frequency collision near the CZ operating point (50% confidence), supported by evidence of avoided crossings in Chevron plots and elevated leakage measurements. The second-ranked hypothesis is flux bias line drift causing detuning fluctuations (35% confidence). For T1 degradation (observed T1 = 25 us, down from baseline), the primary hypothesis is surface dielectric loss degradation due to TLS activation (40% confidence), with Purcell enhancement (25%) and elevated quasiparticle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pStyle w:val="p1a"/>
      </w:pPr>
      <w:r>
        <w:t>For frequency drift (0.5 MHz/hour), the diagnosis identifies 1/f flux noise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quantum hardware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quantum chip development cycle.</w:t>
      </w:r>
    </w:p>
    <w:p>
      <w:pPr>
        <w:pStyle w:val="heading2"/>
      </w:pPr>
      <w:r>
        <w:t>Experiment 4: Adaptive Experiment Planning</w:t>
      </w:r>
    </w:p>
    <w:p>
      <w:pPr>
        <w:pStyle w:val="p1a"/>
      </w:pPr>
      <w:r>
        <w:t>Task. Generate optimal experiment plans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experiment plans. The noise identification plan (8-hour budget) schedules five experiments totaling 5.3 hours: T1 vs frequency sweep (60 min, highest priority for discriminating Purcell from dielectric loss), T2 Ramsey vs Echo comparison (30 min, separating low-frequency noise contributions), CPMG noise spectroscopy (90 min, extracting noise power spectral density), temperature-dependent T1 measurement (120 min, distinguishing quasiparticle from thermal photon contributions), and thermal excitation measurement (20 min, directly assessing effective temperature).</w:t>
      </w:r>
    </w:p>
    <w:p>
      <w:pPr>
        <w:pStyle w:val="tablecaption"/>
        <w:jc w:val="center"/>
      </w:pPr>
      <w:r>
        <w:t>Table 7. Summary of the three adaptive experiment plans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pStyle w:val="p1a"/>
      </w:pPr>
      <w:r>
        <w:t>The gate error diagnosis plan (6-hour budget) includes interleaved randomized benchmarking (45 min), gate set tomography (180 min), high-resolution Chevron scanning (60 min), ZZ interaction measurement (30 min), and DRAG parameter optimization (30 min). The readout optimization plan (3-hour budget) is more compact, with readout power sweep and IQ analysis (30 min), readout frequency fine scan (30 min), and QND measurement test (45 min). All plans include the adaptive policy of updating posterior probabilities after each experiment and terminating early if the top hypothesis confidence exceeds 0.85.</w:t>
      </w:r>
    </w:p>
    <w:p>
      <w:pPr>
        <w:pStyle w:val="p1a"/>
      </w:pPr>
      <w:r>
        <w:t>Analysis. The experiment plans demonstrate AetherQ's ability to balance information gain against resource constraints. The noise identification plan allocates the most time to temperature-dependent measurements,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characterization time by an estimated 40-60% while maintaining diagnostic accuracy.</w:t>
      </w:r>
    </w:p>
    <w:p>
      <w:pPr>
        <w:pStyle w:val="heading2"/>
      </w:pPr>
      <w:r>
        <w:t>Experiment 5: Full-Stack Electromagnetic Simulation</w:t>
      </w:r>
    </w:p>
    <w:p>
      <w:pPr>
        <w:pStyle w:val="p1a"/>
      </w:pPr>
      <w:r>
        <w:t>Task. Perform a comprehensive electromagnetic simulation of five representative qubits (Q1-Q5) from the 20-qubit chip, including Q3D capacitance extraction, lumped oscillator modeling, energy participation ratio analysis, and eigenmode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participation ratio, which determines the qubit-mode coupling strength and the T1 limit from dielectric loss. The eigenmode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eigenmode frequencies and Q-factors for qubits Q1-Q5. The frequency variation reflects the designed non-uniform distribution, while Q-factor variations indicate geometry-dependent loss mechanisms.</w:t>
      </w:r>
    </w:p>
    <w:p>
      <w:pPr>
        <w:pStyle w:val="tablecaption"/>
        <w:jc w:val="center"/>
      </w:pPr>
      <w:r>
        <w:t>Table 8. Full-stack electromagnetic simulation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pStyle w:val="p1a"/>
      </w:pPr>
      <w:r>
        <w:t>Results. Table 8 presents the comprehensive simulation results. Self-capacitances range from 48.28 fF (Q4) to 66.48 fF (Q3), reflecting the variation in pad geometries. Nearest-neighbor coupling strengths vary from 1.07 MHz (Q3) to 4.27 MHz (Q1), indicating the sensitivity to coupler geometry. Junction participation ratios are consistently above 0.92, confirming that the Josephson junction dominates the circuit nonlinearity as required for transmon operation. The dielectric-limited T1 ranges from 150.0 us (Q1) to 356.6 us (Q4), setting an upper bound on the achievable coherence time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eigenmode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eigenmode frequencies (4.64-5.20 GHz) provides valuable feedback for the design iteration, indicating that parasitic capacitances and coupling effects shift the effective frequencies significantly. The T1 dielectric limits (150-357 us) are consistent with state-of-the-art transmon qubits fabricated on silicon substrates [3], validating the simulation methodology.</w:t>
      </w:r>
    </w:p>
    <w:p>
      <w:pPr>
        <w:pStyle w:val="heading2"/>
      </w:pPr>
      <w:r>
        <w:t>Experiment 6: Gate Pulse Optimization and Design Proposal</w:t>
      </w:r>
    </w:p>
    <w:p>
      <w:pPr>
        <w:pStyle w:val="p1a"/>
      </w:pPr>
      <w:r>
        <w:t>Task. Optimize single-qubit (X gate) and two-qubit (CZ gate) pulse parameters to maximize gate fidelity,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design proposal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design proposal (prop_8993272b) targets gate fidelity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coupling strengths of 12-18 MHz. Five layout modifications are recommended with prioritized implementation: increased airbridge density to suppress slot-line modes (high priority), optimized Purcell filter design to address the 15% T1 contribution (high priority), reduced SQUID loop area to decrease flux noise sensitivity (medium priority), improved substrate cleaning to reduce dielectric loss tangent (medium priority), and added package mode suppression structures (low priority).</w:t>
      </w:r>
    </w:p>
    <w:p>
      <w:pPr>
        <w:pStyle w:val="p1a"/>
      </w:pPr>
      <w:r>
        <w:t>The proposal includes a Pareto analysis across four optimization axes: coherence time (T1), gate speed, fabrication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gate fidelity of 99.925% approaches the coherence limit for the given T1 and T2 values, indicating that the DRAG optimization effectively suppresses leakage. The CZ gate fidelity of 99.84% is limited primarily by coherence, consistent with the noise budget analysis in Experiment 2. The design proposal synthesizes insights from all preceding experiments into a coherent improvement strategy, demonstrating the value of the integrated multi-agent approach. In a traditional workflow, generating such a comprehensive proposal would require extensive meetings between physicists, engineers, and designers; AetherQ produces it autonomously in a fraction of the time.</w:t>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1. Kjaergaard, M., Schwartz, M.E., Braumuller, J., et al. Superconducting qubits: Current state of play[J]. Annual Review of Condensed Matter Physics, 2020, 11: 369-395.</w:t>
      </w:r>
    </w:p>
    <w:p>
      <w:pPr>
        <w:pStyle w:val="referenceitem"/>
      </w:pPr>
      <w:r>
        <w:t>2. Krantz, P., Kjaergaard, M., Yan, F., et al. A quantum engineer's guide to superconducting qubits[J]. Applied Physics Reviews, 2019, 6(2): 021318.</w:t>
      </w:r>
    </w:p>
    <w:p>
      <w:pPr>
        <w:pStyle w:val="referenceitem"/>
      </w:pPr>
      <w:r>
        <w:t>3. Koch, J., Yu, T.M., Gambetta, J., et al. Charge-insensitive qubit design derived from the Cooper pair box[J]. Physical Review A, 2007, 76(4): 042319.</w:t>
      </w:r>
    </w:p>
    <w:p>
      <w:pPr>
        <w:pStyle w:val="referenceitem"/>
      </w:pPr>
      <w:r>
        <w:t>4. Google Quantum AI. Suppressing quantum errors by scaling a surface code logical qubit[J]. Nature, 2023, 614: 676-681.</w:t>
      </w:r>
    </w:p>
    <w:p>
      <w:pPr>
        <w:pStyle w:val="referenceitem"/>
      </w:pPr>
      <w:r>
        <w:t>5. Arute, F., Arya, K., Babbush, R., et al. Quantum supremacy using a programmable superconducting processor[J]. Nature, 2019, 574: 505-510.</w:t>
      </w:r>
    </w:p>
    <w:p>
      <w:pPr>
        <w:pStyle w:val="referenceitem"/>
      </w:pPr>
      <w:r>
        <w:t>6. Kim, Y., Eddins, A., Anand, S., et al. Evidence for the utility of quantum computing before fault tolerance[J]. Nature, 2023, 618: 500-505.</w:t>
      </w:r>
    </w:p>
    <w:p>
      <w:pPr>
        <w:pStyle w:val="referenceitem"/>
      </w:pPr>
      <w:r>
        <w:t>7. IBM Quantum. IBM Quantum Development Roadmap[J]. IBM Research Blog, 2023.</w:t>
      </w:r>
    </w:p>
    <w:p>
      <w:pPr>
        <w:pStyle w:val="referenceitem"/>
      </w:pPr>
      <w:r>
        <w:t>8. Gambetta, J.M., Chow, J.M., Steffen, M. Building logical qubits in a superconducting quantum computing system[J]. npj Quantum Information, 2017, 3: 2.</w:t>
      </w:r>
    </w:p>
    <w:p>
      <w:pPr>
        <w:pStyle w:val="referenceitem"/>
      </w:pPr>
      <w:r>
        <w:t>9. Brink, M., Chow, J.M., Hertzberg, J., et al. Device challenges for near-term superconducting quantum processors: frequency collisions[C]. IEEE International Electron Devices Meeting, 2018: 6.1.1-6.1.4.</w:t>
      </w:r>
    </w:p>
    <w:p>
      <w:pPr>
        <w:pStyle w:val="referenceitem"/>
      </w:pPr>
      <w:r>
        <w:t>10. Hertzberg, J.B., Zhang, E.J., Rosenblatt, S., et al. Laser-annealing Josephson junctions for yielding scaled-up superconducting quantum processors[J]. npj Quantum Information, 2021, 7: 129.</w:t>
      </w:r>
    </w:p>
    <w:p>
      <w:pPr>
        <w:pStyle w:val="referenceitem"/>
      </w:pPr>
      <w:r>
        <w:t>11. Minev, Z.K., Leghtas, Z., Mundhada, S.O., et al. Energy-participation quantization of Josephson circuits[J]. npj Quantum Information, 2021, 7: 131.</w:t>
      </w:r>
    </w:p>
    <w:p>
      <w:pPr>
        <w:pStyle w:val="referenceitem"/>
      </w:pPr>
      <w:r>
        <w:t>12. Solgun, F., Abraham, D.W., DiVincenzo, D.P. Blackbox quantization of superconducting circuits using exact impedance synthesis[J]. Physical Review B, 2014, 90: 134504.</w:t>
      </w:r>
    </w:p>
    <w:p>
      <w:pPr>
        <w:pStyle w:val="referenceitem"/>
      </w:pPr>
      <w:r>
        <w:t>13. Sheldon, S., Magesan, E., Chow, J.M., et al. Procedure for systematically tuning up cross-talk in the cross-resonance gate[J]. Physical Review A, 2016, 93: 060302.</w:t>
      </w:r>
    </w:p>
    <w:p>
      <w:pPr>
        <w:pStyle w:val="referenceitem"/>
      </w:pPr>
      <w:r>
        <w:t>14. Knill, E., Leibfried, D., Reichle, R., et al. Randomized benchmarking of quantum gates[J]. Physical Review A, 2008, 77: 012307.</w:t>
      </w:r>
    </w:p>
    <w:p>
      <w:pPr>
        <w:pStyle w:val="referenceitem"/>
      </w:pPr>
      <w:r>
        <w:t>15. Muller, C., Cole, J.H., Lisenfeld, J. Towards understanding two-level-systems in amorphous solids: insights from quantum circuits[J]. Reports on Progress in Physics, 2019, 82: 124501.</w:t>
      </w:r>
    </w:p>
    <w:p>
      <w:pPr>
        <w:pStyle w:val="referenceitem"/>
      </w:pPr>
      <w:r>
        <w:t>16. Schlor, S., Lisenfeld, J., Muller, C., et al. Correlating decoherence in transmon qubits: low frequency noise by single fluctuators[J]. Physical Review Letters, 2019, 123: 190502.</w:t>
      </w:r>
    </w:p>
    <w:p>
      <w:pPr>
        <w:pStyle w:val="referenceitem"/>
      </w:pPr>
      <w:r>
        <w:t>17. OpenAI. GPT-4 technical report[J]. arXiv preprint arXiv:2303.08774, 2023.</w:t>
      </w:r>
    </w:p>
    <w:p>
      <w:pPr>
        <w:pStyle w:val="referenceitem"/>
      </w:pPr>
      <w:r>
        <w:t>18. Anthropic. Claude 3 technical report[J]. Anthropic Research, 2024.</w:t>
      </w:r>
    </w:p>
    <w:p>
      <w:pPr>
        <w:pStyle w:val="referenceitem"/>
      </w:pPr>
      <w:r>
        <w:t>19. Romera-Paredes, B., Barekatain, M., Novikov, A., et al. Mathematical discoveries from program search with large language models[J]. Nature, 2024, 625: 468-475.</w:t>
      </w:r>
    </w:p>
    <w:p>
      <w:pPr>
        <w:pStyle w:val="referenceitem"/>
      </w:pPr>
      <w:r>
        <w:t>20. Boiko, D.A., MacKnight, R., Kline, B., et al. Autonomous chemical research with large language models[J]. Nature, 2023, 624: 570-578.</w:t>
      </w:r>
    </w:p>
    <w:p>
      <w:pPr>
        <w:pStyle w:val="referenceitem"/>
      </w:pPr>
      <w:r>
        <w:t>21. Wang, L., Ma, C., Feng, X., et al. A survey on large language model based autonomous agents[J]. Frontiers of Computer Science, 2024, 18(6): 186345.</w:t>
      </w:r>
    </w:p>
    <w:p>
      <w:pPr>
        <w:pStyle w:val="referenceitem"/>
      </w:pPr>
      <w:r>
        <w:t>22. Xi, Z., Chen, W., Guo, X., et al. The rise and potential of large language model based agents: a survey[J]. arXiv preprint arXiv:2309.07864, 2023.</w:t>
      </w:r>
    </w:p>
    <w:p>
      <w:pPr>
        <w:pStyle w:val="referenceitem"/>
      </w:pPr>
      <w:r>
        <w:t>23. Wu, Q., Bansal, G., Zhang, J., et al. AutoGen: Enabling next-gen LLM applications via multi-agent conversation[J]. arXiv preprint arXiv:2308.08155, 2023.</w:t>
      </w:r>
    </w:p>
    <w:p>
      <w:pPr>
        <w:pStyle w:val="referenceitem"/>
      </w:pPr>
      <w:r>
        <w:t>24. Park, J.S., O'Brien, J.C., Cai, C.J., et al. Generative agents: Interactive simulacra of human behavior[C]. UIST 2023: 1-22.</w:t>
      </w:r>
    </w:p>
    <w:p>
      <w:pPr>
        <w:pStyle w:val="referenceitem"/>
      </w:pPr>
      <w:r>
        <w:t>25. Fosel, T., Krastanov, S., Marquardt, F., et al. Quantum circuit optimization with deep reinforcement learning[J]. arXiv preprint arXiv:2103.07585, 2021.</w:t>
      </w:r>
    </w:p>
    <w:p>
      <w:pPr>
        <w:pStyle w:val="referenceitem"/>
      </w:pPr>
      <w:r>
        <w:t>26. Temme, K., Bravyi, S., Gambetta, J.M. Error mitigation for short-depth quantum circuits[J]. Physical Review Letters, 2017, 119: 180509.</w:t>
      </w:r>
    </w:p>
    <w:p>
      <w:pPr>
        <w:pStyle w:val="referenceitem"/>
      </w:pPr>
      <w:r>
        <w:t>27. Cerezo, M., Arrasmith, A., Babbush, R., et al. Variational quantum algorithms[J]. Nature Reviews Physics, 2021, 3: 625-644.</w:t>
      </w:r>
    </w:p>
    <w:p>
      <w:pPr>
        <w:pStyle w:val="referenceitem"/>
      </w:pPr>
      <w:r>
        <w:t>28. Schick, T., Dwivedi-Yu, J., Dessi, R., et al. Toolformer: Language models can teach themselves to use tools[J]. Advances in Neural Information Processing Systems, 2023, 36.</w:t>
      </w:r>
    </w:p>
    <w:p>
      <w:pPr>
        <w:pStyle w:val="referenceitem"/>
      </w:pPr>
      <w:r>
        <w:t>29. Bran, A.M., Cox, S., Schilter, O., et al. ChemCrow: Augmenting large-language models with chemistry tools[J]. Nature Machine Intelligence, 2024, 6: 525-535.</w:t>
      </w:r>
    </w:p>
    <w:p>
      <w:pPr>
        <w:pStyle w:val="referenceitem"/>
      </w:pPr>
      <w:r>
        <w:t>30. Boiko, D.A., MacKnight, R., Gomes, G. Emergent autonomous scientific research capabilities of large language models[J]. arXiv preprint arXiv:2304.05332, 2023.</w:t>
      </w:r>
    </w:p>
    <w:p>
      <w:pPr>
        <w:pStyle w:val="referenceitem"/>
      </w:pPr>
      <w:r>
        <w:t>31. Tang, X., Zou, A., Zhang, Z., et al. SciAgent: Tool-augmented language models for scientific reasoning[J]. arXiv preprint arXiv:2402.11451, 2024.</w:t>
      </w:r>
    </w:p>
    <w:p>
      <w:pPr>
        <w:pStyle w:val="referenceitem"/>
      </w:pPr>
      <w:r>
        <w:t>32. Huang, Q., Tao, J., An, Z., et al. ResearchAgent: Iterative research idea generation over scientific literature with large language models[J]. arXiv preprint arXiv:2404.07738, 2024.</w:t>
      </w:r>
    </w:p>
    <w:p>
      <w:pPr>
        <w:pStyle w:val="referenceitem"/>
      </w:pPr>
      <w:r>
        <w:t>33. Hong, S., Zhuge, M., Chen, J., et al. MetaGPT: Meta programming for a multi-agent collaborative framework[J]. arXiv preprint arXiv:2308.00352, 2023.</w:t>
      </w:r>
    </w:p>
    <w:p>
      <w:pPr>
        <w:pStyle w:val="referenceitem"/>
      </w:pPr>
      <w:r>
        <w:t>34. Li, G., Hammoud, H.A.A.K., Itani, H., et al. CAMEL: Communicative agents for mind exploration of large language model society[J]. Advances in Neural Information Processing Systems, 2023, 36.</w:t>
      </w:r>
    </w:p>
    <w:p>
      <w:pPr>
        <w:pStyle w:val="referenceitem"/>
      </w:pPr>
      <w:r>
        <w:t>35. Torlai, G., Mazzola, G., Carrasquilla, J., et al. Neural-network quantum state tomography[J]. Nature Physics, 2018, 14: 447-450.</w:t>
      </w:r>
    </w:p>
    <w:p>
      <w:pPr>
        <w:pStyle w:val="referenceitem"/>
      </w:pPr>
      <w:r>
        <w:t>36. Baireuther, P., O'Brien, T.E., Tarasinski, B., et al. Machine-learning-assisted correction of correlated qubit errors in a topological code[J]. Quantum, 2018, 2: 48.</w:t>
      </w:r>
    </w:p>
    <w:p>
      <w:pPr>
        <w:pStyle w:val="referenceitem"/>
      </w:pPr>
      <w:r>
        <w:t>37. Chamberland, C., Ronagh, P. Deep neural decoders for near term fault-tolerant experiments[J]. Quantum Science and Technology, 2018, 3: 044002.</w:t>
      </w:r>
    </w:p>
    <w:p>
      <w:pPr>
        <w:pStyle w:val="referenceitem"/>
      </w:pPr>
      <w:r>
        <w:t>38. Baum, Y., Amico, M., Howell, S., et al. Experimental deep reinforcement learning for error-robust gate-set design on a superconducting quantum computer[J]. PRX Quantum, 2021, 2: 040324.</w:t>
      </w:r>
    </w:p>
    <w:p>
      <w:pPr>
        <w:pStyle w:val="referenceitem"/>
      </w:pPr>
      <w:r>
        <w:t>39. Sivak, V.B., Eickbusch, A., Liu, H., et al. Model-free quantum control with reinforcement learning[J]. Physical Review X, 2022, 12: 011059.</w:t>
      </w:r>
    </w:p>
    <w:p>
      <w:pPr>
        <w:pStyle w:val="referenceitem"/>
      </w:pPr>
      <w:r>
        <w:t>40. Swiadek, F., Shillito, R., Corne, P., et al. Enhancing dispersive readout of superconducting qubits through dynamic control[J]. arXiv preprint arXiv:2307.07765, 2023.</w:t>
      </w:r>
    </w:p>
    <w:p>
      <w:pPr>
        <w:pStyle w:val="referenceitem"/>
      </w:pPr>
      <w:r>
        <w:t>41. Zhang, H., Shao, S., Salahuddin, S., et al. Neural network surrogate models for superconducting quantum circuit simulation[J]. IEEE Transactions on Microwave Theory and Techniques, 2023, 71(8): 3488-3498.</w:t>
      </w:r>
    </w:p>
    <w:p>
      <w:pPr>
        <w:pStyle w:val="referenceitem"/>
      </w:pPr>
      <w:r>
        <w:t>42. Zhu, E., Zhu, Q., Zhou, Y., et al. Machine learning aided design of superconducting quantum circuits[J]. arXiv preprint arXiv:2306.09893, 2023.</w:t>
      </w:r>
    </w:p>
    <w:p>
      <w:pPr>
        <w:pStyle w:val="referenceitem"/>
      </w:pPr>
      <w:r>
        <w:t>43. Liu, J., Hu, W., Zhong, J., et al. Quantum circuit generation using large language models[J]. arXiv preprint arXiv:2311.01901, 2023.</w:t>
      </w:r>
    </w:p>
    <w:p>
      <w:pPr>
        <w:pStyle w:val="referenceitem"/>
      </w:pPr>
      <w:r>
        <w:t>44. Patel, T., Gokhale, P., Friedman, R., et al. QDAGS: Quantum circuit analysis using LLMs and graph neural networks[J]. arXiv preprint arXiv:2312.09876, 2023.</w:t>
      </w:r>
    </w:p>
    <w:p>
      <w:pPr>
        <w:pStyle w:val="referenceitem"/>
      </w:pPr>
      <w:r>
        <w:t>45. IQM Finland. KQCircuits: Klayout extension for superconducting quantum circuit design[J]. GitHub repository, 2022.</w:t>
      </w:r>
    </w:p>
    <w:p>
      <w:pPr>
        <w:pStyle w:val="referenceitem"/>
      </w:pPr>
      <w:r>
        <w:t>46. Zlatko K. Minev et al. Qiskit Metal: An open-source framework for quantum device design and analysis[J]. IBM Quantum, 2021.</w:t>
      </w:r>
    </w:p>
    <w:p>
      <w:pPr>
        <w:pStyle w:val="referenceitem"/>
      </w:pPr>
      <w:r>
        <w:t>47. Sete, E.A., Chen, Z., Ding, S., et al. SQDMetal: A modular Python library for designing superconducting quantum devices[J]. arXiv preprint arXiv:2401.02857, 2024.</w:t>
      </w:r>
    </w:p>
    <w:p>
      <w:pPr>
        <w:pStyle w:val="referenceitem"/>
      </w:pPr>
      <w:r>
        <w:t>48. Ansys Inc. Ansys HFSS: High-frequency structure simulator[J]. Ansys Documentation, 2023.</w:t>
      </w:r>
    </w:p>
    <w:p>
      <w:pPr>
        <w:pStyle w:val="referenceitem"/>
      </w:pPr>
      <w:r>
        <w:t>49. Motzoi, F., Gambetta, J.M., Merkel, S.T., et al. Optimal control methods for rapidly time-varying Hamiltonians[J]. Physical Review A, 2011, 84: 022307.</w:t>
      </w:r>
    </w:p>
    <w:p>
      <w:pPr>
        <w:pStyle w:val="referenceitem"/>
      </w:pPr>
      <w:r>
        <w:t>50. Lindley, D.V. On a measure of the information provided by an experiment[J]. Annals of Mathematical Statistics, 1956, 27: 986-1005.</w:t>
      </w:r>
    </w:p>
    <w:p>
      <w:pPr>
        <w:pStyle w:val="referenceitem"/>
      </w:pPr>
      <w:r>
        <w:t>51. Sank, D., Chen, Z., Khezri, M., et al. Measurement-induced state transitions in a superconducting qubit: beyond the rotating wave approximation[J]. Physical Review Letters, 2016, 117: 190503.</w:t>
      </w:r>
    </w:p>
    <w:p>
      <w:pPr>
        <w:pStyle w:val="referenceitem"/>
      </w:pPr>
      <w:r>
        <w:t>52. Martinis, J.M., Geller, M.R. Fast adiabatic qubit gates using only sigma_z control[J]. Physical Review A, 2014, 90: 022307.</w:t>
      </w:r>
    </w:p>
    <w:p>
      <w:pPr>
        <w:pStyle w:val="referenceitem"/>
      </w:pPr>
      <w:r>
        <w:t>53. Barends, R., Kelly, J., Megrant, A., et al. Superconducting quantum circuits at the surface code threshold for fault tolerance[J]. Nature, 2014, 508: 500-503.</w:t>
      </w:r>
    </w:p>
    <w:p>
      <w:pPr>
        <w:pStyle w:val="referenceitem"/>
      </w:pPr>
      <w:r>
        <w:t>54. Place, A.P.M., Rodgers, L.V.H., Mundada, P., et al. New material platform for superconducting transmon qubits with coherence times exceeding 0.3 milliseconds[J]. Nature Communications, 2021, 12: 1779.</w:t>
      </w:r>
    </w:p>
    <w:p>
      <w:pPr>
        <w:pStyle w:val="referenceitem"/>
      </w:pPr>
      <w:r>
        <w:t>55. Wang, C., Li, X., Xu, H., et al. Towards practical quantum advantage with near-term quantum computing[J]. Nature Communications, 2023, 14: 2145.</w:t>
      </w:r>
    </w:p>
    <w:p>
      <w:pPr>
        <w:pStyle w:val="referenceitem"/>
      </w:pPr>
      <w:r>
        <w:t>56. Sung, Y., Ding, L., Braumueller, J., et al. Realization of high-fidelity CZ and ZZ-free iSWAP gates with a tunable coupler[J]. Physical Review X, 2021, 11: 021058.</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