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UI/images/FigCaption0.ICO" ContentType="image/.ico"/>
  <Override PartName="/customUI/images/HeaderFooter0.ICO" ContentType="image/.ico"/>
  <Override PartName="/customUI/images/InsertImage0.ICO" ContentType="image/.ico"/>
  <Override PartName="/customUI/images/ORCID0.ICO" ContentType="image/.ico"/>
  <Override PartName="/customUI/images/RedoStyles0.ICO" ContentType="image/.ico"/>
  <Override PartName="/customUI/images/TabCaption0.ICO" ContentType="image/.ico"/>
  <Override PartName="/customUI/images/abstract0.ICO" ContentType="image/.ico"/>
  <Override PartName="/customUI/images/addspace0.ICO" ContentType="image/.ico"/>
  <Override PartName="/customUI/images/arrowleft0.ICO" ContentType="image/.ico"/>
  <Override PartName="/customUI/images/arrowright0.ICO" ContentType="image/.ico"/>
  <Override PartName="/customUI/images/bulletitem0.ICO" ContentType="image/.ico"/>
  <Override PartName="/customUI/images/dashitem0.ICO" ContentType="image/.ico"/>
  <Override PartName="/customUI/images/eqnumber0.ICO" ContentType="image/.ico"/>
  <Override PartName="/customUI/images/equation0.ICO" ContentType="image/.ico"/>
  <Override PartName="/customUI/images/expand00.ICO" ContentType="image/.ico"/>
  <Override PartName="/customUI/images/normal3200.ICO" ContentType="image/.ico"/>
  <Override PartName="/customUI/images/normalspace00.ICO" ContentType="image/.ico"/>
  <Override PartName="/customUI/images/numitem0.ICO" ContentType="image/.ico"/>
  <Override PartName="/customUI/images/papertitle.png" ContentType="image/.png"/>
  <Override PartName="/customUI/images/removespace0.ICO" ContentType="image/.ico"/>
  <Override PartName="/customUI/images/squeeze00.ICO" ContentType="image/.ico"/>
  <Override PartName="/customUI/images/subtitle.png" ContentType="image/.png"/>
  <Override PartName="/customUI/images/togglenumbering0.ICO" ContentType="image/.ico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FCE" w:rsidRPr="00EE426C" w:rsidRDefault="009B2539" w:rsidP="00C24DEF">
      <w:pPr>
        <w:pStyle w:val="papertitle"/>
      </w:pPr>
      <w:r>
        <w:t>AetherQ: A Multi-Agent AI System for Autonomous Superconducting Quantum Chip Research</w:t>
      </w:r>
    </w:p>
    <w:p w:rsidR="00C24DEF" w:rsidRPr="00EE426C" w:rsidRDefault="009B2539" w:rsidP="00EE426C">
      <w:pPr>
        <w:pStyle w:val="author"/>
      </w:pPr>
      <w:r>
        <w:t>Anonymous Authors</w:t>
      </w:r>
    </w:p>
    <w:p w:rsidR="00C24DEF" w:rsidRPr="00EE426C" w:rsidRDefault="009B2539" w:rsidP="00EE426C">
      <w:pPr>
        <w:pStyle w:val="address"/>
      </w:pPr>
      <w:r>
        <w:t>1 Quantum Technology Innovation Center, Yangtze River Delta, China</w:t>
      </w:r>
    </w:p>
    <w:p w:rsidR="00C24DEF" w:rsidRPr="006809AE" w:rsidRDefault="009B2539" w:rsidP="006809AE">
      <w:pPr>
        <w:pStyle w:val="address"/>
      </w:pPr>
      <w:r>
        <w:t>2 Institute of Quantum Computing, CETC, China</w:t>
      </w:r>
    </w:p>
    <w:p w:rsidR="00C24DEF" w:rsidRPr="00EE426C" w:rsidRDefault="009B2539" w:rsidP="00EE426C">
      <w:pPr>
        <w:pStyle w:val="abstract"/>
        <w:spacing w:after="0"/>
        <w:ind w:firstLine="0"/>
      </w:pPr>
      <w:r>
        <w:t>Abstract. The design, fabrication, and characterization of superconducting quantum chips involve deeply intertwined workflows spanning electromagnetic simulation, circuit quantization, process engineering, cryogenic measurement, and data analysis. Here we introduce AetherQ, a multi-agent AI system that unifies the full lifecycle of superconducting quantum chip research behind a single natural-language interface. AetherQ orchestrates twelve specialized AI scientist agents over a shared tool execution layer integrating Qiskit Metal, KQCircuits, Ansys HFSS/Q3D, ARTIQ, CHIPMES, and Apache Doris. The system features (i) a closed-loop architecture from natural language through EDA to GDS and back through simulation feedback, (ii) an autonomous heartbeat engine with four intelligence tiers, and (iii) a theoretical physicist agent with nine functional modules (M0–M8) covering Hamiltonian modeling, noise budgeting, Bayesian parameter inversion, experiment design, root-cause diagnosis, and design optimization. We demonstrate AetherQ on a 20-qubit tunable-coupler chip, showing end-to-end GDS generation, simulation, diagnosis, and redesign from conversational prompts.</w:t>
      </w:r>
    </w:p>
    <w:p w:rsidR="00C24DEF" w:rsidRPr="00EE426C" w:rsidRDefault="009B2539" w:rsidP="00EE426C">
      <w:pPr>
        <w:pStyle w:val="keywords"/>
      </w:pPr>
      <w:r>
        <w:t>Keywords: Multi-agent system, Superconducting quantum chip, Autonomous research, LLM-based agent, Chip design automation, Closed-loop optimization.</w:t>
      </w:r>
    </w:p>
    <w:p w:rsidR="00C24DEF" w:rsidRDefault="009B2539" w:rsidP="00C24DEF">
      <w:pPr>
        <w:pStyle w:val="heading1"/>
      </w:pPr>
      <w:r>
        <w:t>Introduction</w:t>
      </w:r>
    </w:p>
    <w:p w:rsidR="006809AE" w:rsidRPr="006809AE" w:rsidRDefault="009B2539" w:rsidP="006809AE">
      <w:pPr>
        <w:pStyle w:val="p1a"/>
        <w:spacing w:before="0"/>
      </w:pPr>
      <w:r>
        <w:t>Superconducting quantum computing has advanced rapidly, with processors scaling from tens to over one hundred qubits [1–5]. Yet the R&amp;D cycle remains labor-intensive: frequency planning, layout design, EM simulation, cleanroom fabrication, cryogenic measurement, and data-driven diagnosis each rely on distinct software ecosystems and deep domain expertise rarely held by one researcher.</w:t>
      </w:r>
    </w:p>
    <w:p w:rsidR="00C24DEF" w:rsidRPr="00EE426C" w:rsidRDefault="009B2539" w:rsidP="00C24DEF">
      <w:pPr/>
      <w:r>
        <w:t>LLM-based agent systems have shown potential to bridge such gaps. El Agente Q [9] automates quantum chemistry workflows; El Agente Cuántico [10] extends this to quantum simulation; k-agents [11] demonstrate autonomous qubit calibration. However, none spans the full design–simulate–fabricate–measure–analyze–redesign loop.</w:t>
      </w:r>
    </w:p>
    <w:p w:rsidR="00C24DEF" w:rsidRDefault="009B2539" w:rsidP="00C24DEF">
      <w:pPr/>
      <w:r>
        <w:t>We introduce AetherQ with five contributions: (1) full-lifecycle coverage with 12 agents and 120+ tools across 12 platforms; (2) closed-loop tool-call orchestration via the ReAct paradigm [13]; (3) a physics-structured theoretical physicist agent with nine modules (M0–M8); (4) a four-tier autonomous heartbeat engine; (5) demonstration on a production-derived 20-qubit tunable-coupler chip [5].</w:t>
      </w:r>
    </w:p>
    <w:p w:rsidR="003E3370" w:rsidRDefault="009B2539" w:rsidP="009930E4">
      <w:pPr>
        <w:pStyle w:val="heading1"/>
      </w:pPr>
      <w:r>
        <w:t>Related Work</w:t>
      </w:r>
    </w:p>
    <w:p w:rsidR="003E3370" w:rsidRDefault="009B2539" w:rsidP="009930E4">
      <w:pPr>
        <w:pStyle w:val="heading2"/>
        <w:rPr>
          <w:rStyle w:val="heading4"/>
          <w:i w:val="0"/>
        </w:rPr>
      </w:pPr>
      <w:r>
        <w:t>LLM-Based Scientific Agents</w:t>
      </w:r>
    </w:p>
    <w:p w:rsidR="002D3488" w:rsidRDefault="009B2539" w:rsidP="00DB42F5">
      <w:pPr>
        <w:pStyle w:val="p1a"/>
      </w:pPr>
      <w:r>
        <w:t>The AI Scientist [6] demonstrates end-to-end ML research. PaperQA [7] enables retrieval-augmented QA. Kosmos [8] spans literature, ideation, and implementation. In chemistry, ChemCrow [24] and Coscientist [25] demonstrated tool-using agents, while ChemAgent [26] extends through multi-agent coordination.</w:t>
      </w:r>
    </w:p>
    <w:p w:rsidR="00EE1BBB" w:rsidRDefault="009B2539" w:rsidP="00EC51EE">
      <w:pPr>
        <w:pStyle w:val="heading2"/>
        <w:spacing w:before="240"/>
        <w:ind w:firstLine="0"/>
      </w:pPr>
      <w:r>
        <w:t>AI for Quantum Computing</w:t>
      </w:r>
    </w:p>
    <w:p w:rsidR="00EE1BBB" w:rsidRDefault="009B2539" w:rsidP="00EE1BBB">
      <w:pPr>
        <w:pStyle w:val="p1a"/>
      </w:pPr>
      <w:r>
        <w:t>El Agente Q [9] achieves &gt;87% task success on quantum chemistry exercises via hierarchical planning. El Agente Cuántico [10] orchestrates experts across CUDA-Q, PennyLane, Qiskit, QuTiP, TeNPy, and Tequila. In hardware, k-agents [11] use RL for autonomous qubit calibration.</w:t>
      </w:r>
    </w:p>
    <w:p w:rsidR="001D7555" w:rsidRPr="00D000D8" w:rsidRDefault="009B2539" w:rsidP="00D000D8">
      <w:pPr>
        <w:pStyle w:val="heading2"/>
        <w:tabs>
          <w:tab w:val="left" w:pos="1929"/>
        </w:tabs>
      </w:pPr>
      <w:r>
        <w:t>Gap Analysis</w:t>
      </w:r>
    </w:p>
    <w:p w:rsidR="00EE1BBB" w:rsidRPr="00EE1BBB" w:rsidRDefault="009B2539" w:rsidP="00EE1BBB">
      <w:pPr>
        <w:pStyle w:val="p1a"/>
        <w:spacing w:before="360"/>
        <w:ind w:left="227" w:hanging="227"/>
      </w:pPr>
      <w:r>
        <w:t>No existing system covers the full hardware lifecycle. Table 1 compares AetherQ with prior work.</w:t>
      </w:r>
    </w:p>
    <w:p w:rsidR="002D3488" w:rsidRDefault="009B2539" w:rsidP="001D7555">
      <w:pPr>
        <w:pStyle w:val="tablecaption"/>
        <w:jc w:val="both"/>
      </w:pPr>
      <w:r>
        <w:t>Table 1. Comparison of AetherQ with existing AI agent systems for quantum research.</w:t>
      </w:r>
    </w:p>
    <w:p w:rsidR="00D000D8" w:rsidRPr="00F55A71" w:rsidRDefault="009B2539" w:rsidP="00E47862">
      <w:pPr>
        <w:pStyle w:val="p1a"/>
      </w:pPr>
    </w:p>
    <w:p w:rsidR="002B2074" w:rsidRDefault="002B2074" w:rsidP="002B2074">
      <w:pPr>
        <w:pStyle w:val="heading1"/>
        <w:rPr>
          <w:b/>
          <w:bCs/>
        </w:rPr>
      </w:pPr>
      <w:r>
        <w:t>System Architecture</w:t>
      </w:r>
    </w:p>
    <w:p w:rsidR="002B2074" w:rsidRDefault="002B2074" w:rsidP="002B2074">
      <w:pPr>
        <w:pStyle w:val="heading2"/>
      </w:pPr>
      <w:r>
        <w:t>Layered Design</w:t>
      </w:r>
    </w:p>
    <w:p w:rsidR="00606587" w:rsidRDefault="009B2539" w:rsidP="00606587">
      <w:pPr>
        <w:pStyle w:val="p1a"/>
        <w:numPr>
          <w:ilvl w:val="0"/>
          <w:numId w:val="0"/>
        </w:numPr>
        <w:ind w:left="567" w:hanging="567"/>
      </w:pPr>
      <w:r>
        <w:t>AetherQ adopts a six-layer architecture (Fig. 1): user layer (L0), Gateway (L1), Brain with MoE routing (L2), 12 agent layer (L3), Hands/Memory layer (L4), and platform layer (L5).</w:t>
      </w:r>
    </w:p>
    <w:p w:rsidR="00606587" w:rsidRDefault="009B2539" w:rsidP="00606587">
      <w:pPr>
        <w:pStyle w:val="referenceitem"/>
      </w:pPr>
    </w:p>
    <w:p w:rsidR="00606587" w:rsidRDefault="009B2539" w:rsidP="00606587">
      <w:pPr>
        <w:pStyle w:val="figurecaption"/>
      </w:pPr>
      <w:r>
        <w:t>Fig. 1. AetherQ system architecture with six layers, Heartbeat engine, and Skills marketplace.</w:t>
      </w:r>
    </w:p>
    <w:p w:rsidR="002D3488" w:rsidRDefault="009B2539" w:rsidP="00606587">
      <w:pPr>
        <w:pStyle w:val="heading2"/>
      </w:pPr>
      <w:r>
        <w:t>Agent Team</w:t>
      </w:r>
    </w:p>
    <w:p w:rsidR="002C5825" w:rsidRDefault="009B2539" w:rsidP="00606587">
      <w:pPr>
        <w:pStyle w:val="p1a"/>
      </w:pPr>
      <w:r>
        <w:t>Twelve agents are ordered by the research workflow (Fig. 2). Each agent has a system prompt, tool-prefix permissions, routing keywords, and quick-action buttons.</w:t>
      </w:r>
    </w:p>
    <w:p w:rsidR="00F5783C" w:rsidRPr="00606587" w:rsidRDefault="009B2539" w:rsidP="00606587">
      <w:pPr>
        <w:pStyle w:val="referenceitem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"/>
        <w:gridCol w:w="988"/>
        <w:gridCol w:w="988"/>
        <w:gridCol w:w="988"/>
        <w:gridCol w:w="988"/>
        <w:gridCol w:w="988"/>
        <w:gridCol w:w="988"/>
      </w:tblGrid>
      <w:tr>
        <w:tc>
          <w:tcPr>
            <w:tcW w:type="dxa" w:w="988"/>
          </w:tcPr>
          <w:p>
            <w:r>
              <w:rPr>
                <w:b/>
                <w:sz w:val="16"/>
              </w:rPr>
              <w:t>System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Domain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Scope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HW Integ.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Full Cycle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Agents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Tools</w:t>
            </w:r>
          </w:p>
        </w:tc>
      </w:tr>
      <w:tr>
        <w:tc>
          <w:tcPr>
            <w:tcW w:type="dxa" w:w="988"/>
          </w:tcPr>
          <w:p>
            <w:r>
              <w:rPr>
                <w:sz w:val="16"/>
              </w:rPr>
              <w:t>El Agente Q [9]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Quantum Chem.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Computation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~10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~20</w:t>
            </w:r>
          </w:p>
        </w:tc>
      </w:tr>
      <w:tr>
        <w:tc>
          <w:tcPr>
            <w:tcW w:type="dxa" w:w="988"/>
          </w:tcPr>
          <w:p>
            <w:r>
              <w:rPr>
                <w:sz w:val="16"/>
              </w:rPr>
              <w:t>El Agente C. [10]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Quantum Sim.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Computation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~30</w:t>
            </w:r>
          </w:p>
        </w:tc>
      </w:tr>
      <w:tr>
        <w:tc>
          <w:tcPr>
            <w:tcW w:type="dxa" w:w="988"/>
          </w:tcPr>
          <w:p>
            <w:r>
              <w:rPr>
                <w:sz w:val="16"/>
              </w:rPr>
              <w:t>k-agents [11]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Qubit Calib.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~5</w:t>
            </w:r>
          </w:p>
        </w:tc>
      </w:tr>
      <w:tr>
        <w:tc>
          <w:tcPr>
            <w:tcW w:type="dxa" w:w="988"/>
          </w:tcPr>
          <w:p>
            <w:r>
              <w:rPr>
                <w:sz w:val="16"/>
              </w:rPr>
              <w:t>AetherQ (ours)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SC Chip R&amp;D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Full lifecycle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Yes (12+)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120+</w:t>
            </w:r>
          </w:p>
        </w:tc>
      </w:tr>
    </w:tbl>
    <w:p>
      <w:pPr>
        <w:pStyle w:val="figurecaption"/>
        <w:jc w:val="center"/>
      </w:pPr>
      <w:r>
        <w:t>Fig. 2. Twelve AI scientist agents ordered by the superconducting chip research workflow.</w:t>
      </w:r>
    </w:p>
    <w:p>
      <w:pPr>
        <w:pStyle w:val="heading2"/>
        <w:jc w:val="center"/>
      </w:pPr>
      <w:r>
        <w:t>Tool Execution Layer</w:t>
      </w:r>
    </w:p>
    <w:p>
      <w:pPr>
        <w:pStyle w:val="p1a"/>
      </w:pPr>
      <w:r>
        <w:t>The Hands layer registers 120+ tools across ten adapters (Table 2). Each implements dual-mode: real API when available, physics-informed mock otherwise.</w:t>
      </w:r>
    </w:p>
    <w:p>
      <w:pPr>
        <w:pStyle w:val="tablecaption"/>
      </w:pPr>
      <w:r>
        <w:t>Table 2. Tool registry across ten platform adapters (120+ total).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type="dxa" w:w="2306"/>
          </w:tcPr>
          <w:p>
            <w:r>
              <w:rPr>
                <w:b/>
                <w:sz w:val="16"/>
              </w:rPr>
              <w:t>Adapter</w:t>
            </w:r>
          </w:p>
        </w:tc>
        <w:tc>
          <w:tcPr>
            <w:tcW w:type="dxa" w:w="2306"/>
          </w:tcPr>
          <w:p>
            <w:r>
              <w:rPr>
                <w:b/>
                <w:sz w:val="16"/>
              </w:rPr>
              <w:t>Tools</w:t>
            </w:r>
          </w:p>
        </w:tc>
        <w:tc>
          <w:tcPr>
            <w:tcW w:type="dxa" w:w="2306"/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Qiskit Metal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create_design, add_transmon, export_gds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KQCircuits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create_chip, export_ansys, export_mask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Simulation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hfss_eigenmode, q3d_extraction, epr_analysis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Theory Physics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build_hamiltonian, noise_budget, diagnose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ARTIQ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run_pulse, run_scan, list_devices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Qiskit Pulse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full_calibration, cal_drag, cal_amplitude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Mitiq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zne, pec, dd, benchmark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CHIPMES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query_orders, db_schema (401 tables)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Data Platform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doris_query, seatunnel_sync, text2sql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Knowledge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search_knowledge, library_upload</w:t>
            </w:r>
          </w:p>
        </w:tc>
      </w:tr>
    </w:tbl>
    <w:p>
      <w:pPr>
        <w:pStyle w:val="heading2"/>
      </w:pPr>
      <w:r>
        <w:t>Tool Call Loop</w:t>
      </w:r>
    </w:p>
    <w:p>
      <w:pPr>
        <w:pStyle w:val="p1a"/>
      </w:pPr>
      <w:r>
        <w:t>Each agent operates in a ReAct think–act–observe loop (Fig. 3) for up to 8 rounds per turn. A conversation pipeline records every step for provenance and reproducibility.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80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olca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3. ReAct-style tool-call loop with up to 8 reasoning rounds per turn.</w:t>
      </w:r>
    </w:p>
    <w:p>
      <w:pPr>
        <w:pStyle w:val="heading1"/>
      </w:pPr>
      <w:r>
        <w:t>Theoretical Physicist Agent</w:t>
      </w:r>
    </w:p>
    <w:p>
      <w:pPr>
        <w:pStyle w:val="p1a"/>
      </w:pPr>
      <w:r>
        <w:t>This agent implements nine modules (M0–M8) grounded in superconducting circuit theory [14] (Fig.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7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du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4. Nine functional modules (M0–M8) and data flow through standardized objects.</w:t>
      </w:r>
    </w:p>
    <w:p>
      <w:pPr>
        <w:pStyle w:val="heading2"/>
      </w:pPr>
      <w:r>
        <w:t>Hamiltonian Modeling (M1)</w:t>
      </w:r>
    </w:p>
    <w:p>
      <w:pPr>
        <w:pStyle w:val="p1a"/>
      </w:pPr>
      <w:r>
        <w:t>M1 builds effective Hamiltonian models via EPR quantization. For a transmon: f_01 = sqrt(8 E_J E_C) - E_C; anharmonicity alpha = -E_C. Outputs include frequencies, coupling strengths g, dispersive shifts chi, ZZ interactions, and approximation validity checks (two-level, RWA, dispersive).</w:t>
      </w:r>
    </w:p>
    <w:p>
      <w:pPr>
        <w:pStyle w:val="heading2"/>
      </w:pPr>
      <w:r>
        <w:t>Noise Budgeting (M2)</w:t>
      </w:r>
    </w:p>
    <w:p>
      <w:pPr>
        <w:pStyle w:val="p1a"/>
      </w:pPr>
      <w:r>
        <w:t>M2 decomposes 1/T1 = 1/T1_Purcell + 1/T1_dielectric + 1/T1_TLS + 1/T1_QP + 1/T1_radiation and 1/T2 = 1/(2T1) + 1/Tphi_flux + 1/Tphi_thermal + 1/Tphi_charge, generating ranked noise budgets and sensitivity matrices identifying the highest-leverage parameter changes.</w:t>
      </w:r>
    </w:p>
    <w:p>
      <w:pPr>
        <w:pStyle w:val="heading2"/>
      </w:pPr>
      <w:r>
        <w:t>Root-Cause Diagnosis (M6) and Design Optimization (M7)</w:t>
      </w:r>
    </w:p>
    <w:p>
      <w:pPr>
        <w:pStyle w:val="p1a"/>
      </w:pPr>
      <w:r>
        <w:t>M6 implements fault-tree reasoning with probabilistic ranking of candidate root causes. M7 synthesizes M2/M3/M6 outputs into three-tier design proposals (immediate/mid-term/next-iteration) with Pareto trade-off analysis over T1, gate speed, yield, and frequency crowding.</w:t>
      </w:r>
    </w:p>
    <w:p>
      <w:pPr>
        <w:pStyle w:val="heading1"/>
      </w:pPr>
      <w:r>
        <w:t>Chip Design Pipeline</w:t>
      </w:r>
    </w:p>
    <w:p>
      <w:pPr>
        <w:pStyle w:val="heading2"/>
      </w:pPr>
      <w:r>
        <w:t>20-Qubit Specification</w:t>
      </w:r>
    </w:p>
    <w:p>
      <w:pPr>
        <w:pStyle w:val="p1a"/>
      </w:pPr>
      <w:r>
        <w:t>We demonstrate on a 20-qubit tunable-coupler chip [5]: 12.5 mm x 12.5 mm, 1D chain with 19 couplers, Xmon qubits (Q_odd = 5.152 GHz, Q_even = 4.650 GHz), coupler at 6.844 GHz, 48 SMP connectors, CPW Z_0 = 50 Ohm (Table 3).</w:t>
      </w:r>
    </w:p>
    <w:p>
      <w:pPr>
        <w:pStyle w:val="tablecaption"/>
      </w:pPr>
      <w:r>
        <w:t>Table 3. Hamiltonian model parameters for selected qubits of the 20-qubit chip.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53"/>
        <w:gridCol w:w="1153"/>
        <w:gridCol w:w="1153"/>
        <w:gridCol w:w="1153"/>
        <w:gridCol w:w="1153"/>
        <w:gridCol w:w="1153"/>
      </w:tblGrid>
      <w:tr>
        <w:tc>
          <w:tcPr>
            <w:tcW w:type="dxa" w:w="1153"/>
          </w:tcPr>
          <w:p>
            <w:r>
              <w:rPr>
                <w:b/>
                <w:sz w:val="16"/>
              </w:rPr>
              <w:t>Qubit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f_01 (GHz)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alpha (MHz)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E_J (GHz)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E_C (GHz)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E_J/E_C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Q1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5.174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13.78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Q2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5.215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14.17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Q3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5.236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14.35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Q4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5.349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13.92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Q5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5.593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14.28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Q20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6.713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14.42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</w:tbl>
    <w:p>
      <w:pPr>
        <w:pStyle w:val="heading2"/>
      </w:pPr>
      <w:r>
        <w:t>Design Workflow</w:t>
      </w:r>
    </w:p>
    <w:p>
      <w:pPr>
        <w:pStyle w:val="p1a"/>
      </w:pPr>
      <w:r>
        <w:t>The pipeline (Fig. 5): NL prompt -&gt; Orchestrator -&gt; create_design -&gt; add_transmon (x20) -&gt; add_route (x19) -&gt; export_gds -&gt; Q3D extraction -&gt; theoretical validation.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1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ip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5. The 20-qubit chip design pipeline from natural-language prompt to validated GDS.</w:t>
      </w:r>
    </w:p>
    <w:p>
      <w:pPr>
        <w:pStyle w:val="p1a"/>
      </w:pPr>
      <w:r>
        <w:t>The GDS contains ~1000 shapes across 8 layers in 12.5 mm x 12.5 mm. Q2 and Q5 use Manhattan single-junction structures; all others use SQUID junctions per specification.</w:t>
      </w:r>
    </w:p>
    <w:p>
      <w:pPr>
        <w:pStyle w:val="heading1"/>
      </w:pPr>
      <w:r>
        <w:t>Experiments and Results</w:t>
      </w:r>
    </w:p>
    <w:p>
      <w:pPr>
        <w:pStyle w:val="p1a"/>
      </w:pPr>
      <w:r>
        <w:t>We evaluate AetherQ across six experiments on the 20-qubit chip. All experiments use actual tool implementations on a single workstation (Intel i7, 32 GB RAM, Python 3.11; theory mode for EM simulation without Ansys desktop).</w:t>
      </w:r>
    </w:p>
    <w:p>
      <w:pPr>
        <w:pStyle w:val="heading2"/>
      </w:pPr>
      <w:r>
        <w:t>Hamiltonian Model Construction</w:t>
      </w:r>
    </w:p>
    <w:p>
      <w:pPr>
        <w:pStyle w:val="p1a"/>
      </w:pPr>
      <w:r>
        <w:t>Task: Build a Hamiltonian model for the 20-qubit chip and check frequency collisions. The agent invokes theorist_build_device_graph followed by theorist_build_hamiltonian (EPR, dim=4). Table 4 validates the results.</w:t>
      </w:r>
    </w:p>
    <w:p>
      <w:pPr>
        <w:pStyle w:val="tablecaption"/>
      </w:pPr>
      <w:r>
        <w:t>Table 4. Hamiltonian model validation: agent predictions vs. design specification.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Design Value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Agent Prediction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omega_Q,odd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5.152 GHz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5.174 +/- 0.004 GHz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omega_Q,even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4.650 GHz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5.215 +/- 0.003 GHz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alpha_Q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-260 MHz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-260.0 +/- 2 MHz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g_coupling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~15 MHz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11.2 +/- 1.5 MHz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zeta_ZZ (off)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&lt; 20 kHz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53.4 +/- 5 kHz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Collisions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33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req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6. Qubit frequency comparison: design specification (blue) vs. agent prediction (red) for all 20 qubits.</w:t>
      </w:r>
    </w:p>
    <w:p>
      <w:pPr>
        <w:pStyle w:val="heading2"/>
      </w:pPr>
      <w:r>
        <w:t>Noise Budget Analysis</w:t>
      </w:r>
    </w:p>
    <w:p>
      <w:pPr>
        <w:pStyle w:val="p1a"/>
      </w:pPr>
      <w:r>
        <w:t>Task: Compute noise budget for Q1 with measured T1=45 us, T2=30 us. Agent invokes theorist_noise_budget.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67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noise_budg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7. Noise budget decomposition for Q1. Left: T1 breakdown. Right: T2 breakdown. Dielectric loss and 1/f flux noise are identified as dominant mechanisms.</w:t>
      </w:r>
    </w:p>
    <w:p>
      <w:pPr>
        <w:pStyle w:val="p1a"/>
      </w:pPr>
      <w:r>
        <w:t>Dielectric loss (T1 limit 76 us) contributes 39.5% of relaxation. For T2, 1/f flux noise (Tphi = 56 us) dominates. The sensitivity matrix recommends reducing tan_delta for ~20% T1 gain and improving magnetic shielding for ~30% T2 gain.</w:t>
      </w:r>
    </w:p>
    <w:p>
      <w:pPr>
        <w:pStyle w:val="heading2"/>
      </w:pPr>
      <w:r>
        <w:t>Root-Cause Diagnosis</w:t>
      </w:r>
    </w:p>
    <w:p>
      <w:pPr>
        <w:pStyle w:val="p1a"/>
      </w:pPr>
      <w:r>
        <w:t>Task: Diagnose CZ gate fidelity at 98.5% (target 99%). Agent invokes theorist_diagnose.</w:t>
      </w:r>
    </w:p>
    <w:p>
      <w:pPr>
        <w:pStyle w:val="tablecaption"/>
      </w:pPr>
      <w:r>
        <w:t>Table 5. Root-cause diagnosis for CZ gate fidelity degradation.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6"/>
              </w:rPr>
              <w:t>Rank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Root Cause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Verification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Frequency collision near CZ operating point (leakage)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High-resolution Chevron scan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Flux bias line drift causing detuning fluctuation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Long-term Ramsey frequency tracking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Parasitic package mode hybridization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Broadband spectroscopy vs. temperature</w:t>
            </w:r>
          </w:p>
        </w:tc>
      </w:tr>
    </w:tbl>
    <w:p>
      <w:pPr>
        <w:pStyle w:val="heading2"/>
      </w:pPr>
      <w:r>
        <w:t>Information-Optimal Experiment Design</w:t>
      </w:r>
    </w:p>
    <w:p>
      <w:pPr>
        <w:pStyle w:val="p1a"/>
      </w:pPr>
      <w:r>
        <w:t>Task: Plan 8-hour session to identify dominant noise for Q1. Agent invokes theorist_plan_experiment.</w:t>
      </w:r>
    </w:p>
    <w:p>
      <w:pPr>
        <w:pStyle w:val="tablecaption"/>
      </w:pPr>
      <w:r>
        <w:t>Table 6. Information-optimal experiment schedule (8-hour budget, 5.3 hours scheduled).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T1 vs. frequency (flux sweep)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Distinguish Purcell from dielectric loss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T2 Ramsey vs. Echo comparison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Separate low-frequency noise contribution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CPMG noise spectroscopy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90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Extract noise power spectral density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Temperature-dependent T1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120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Distinguish quasiparticle from thermal photon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Residual excited-state population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Assess effective temperature</w:t>
            </w:r>
          </w:p>
        </w:tc>
      </w:tr>
    </w:tbl>
    <w:p>
      <w:pPr>
        <w:pStyle w:val="heading2"/>
      </w:pPr>
      <w:r>
        <w:t>Full-Chip Simulation (Q1-Q5)</w:t>
      </w:r>
    </w:p>
    <w:p>
      <w:pPr>
        <w:pStyle w:val="p1a"/>
      </w:pPr>
      <w:r>
        <w:t>Task: Run Q3D + LOM + EPR + eigenmode for Q1-Q5. Agent invokes sim_full_chip.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26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imu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8. Full-chip simulation results for Q1-Q5: self-capacitance, coupling, frequency, Q factor.</w:t>
      </w:r>
    </w:p>
    <w:p>
      <w:pPr>
        <w:pStyle w:val="tablecaption"/>
      </w:pPr>
      <w:r>
        <w:t>Table 7. Full-chip simulation results for Q1-Q5.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65"/>
          </w:tcPr>
          <w:p>
            <w:r>
              <w:rPr>
                <w:b/>
                <w:sz w:val="16"/>
              </w:rPr>
              <w:t>Qubit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C_self (fF)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g (MHz)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f_01 (GHz)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E_J (GHz)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p_junc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T1_diel (us)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Q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Q1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56.8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44,907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Q2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60.1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1.7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55,241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66.5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0.962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46,520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48.3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0.963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357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65,095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Q5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54.6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0.948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47,095</w:t>
            </w:r>
          </w:p>
        </w:tc>
      </w:tr>
    </w:tbl>
    <w:p>
      <w:pPr>
        <w:pStyle w:val="heading2"/>
      </w:pPr>
      <w:r>
        <w:t>Design Optimization</w:t>
      </w:r>
    </w:p>
    <w:p>
      <w:pPr>
        <w:pStyle w:val="p1a"/>
      </w:pPr>
      <w:r>
        <w:t>Task: Optimize gate pulses and generate design proposals. Agent invokes theorist_optimize_pulse and theorist_design_proposal.</w:t>
      </w:r>
    </w:p>
    <w:p>
      <w:pPr>
        <w:pStyle w:val="tablecaption"/>
      </w:pPr>
      <w:r>
        <w:t>Table 8. Optimized gate pulse parameters.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1384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384"/>
          </w:tcPr>
          <w:p>
            <w:r>
              <w:rPr>
                <w:b/>
                <w:sz w:val="16"/>
              </w:rPr>
              <w:t>Duration (ns)</w:t>
            </w:r>
          </w:p>
        </w:tc>
        <w:tc>
          <w:tcPr>
            <w:tcW w:type="dxa" w:w="1384"/>
          </w:tcPr>
          <w:p>
            <w:r>
              <w:rPr>
                <w:b/>
                <w:sz w:val="16"/>
              </w:rPr>
              <w:t>Fidelity</w:t>
            </w:r>
          </w:p>
        </w:tc>
        <w:tc>
          <w:tcPr>
            <w:tcW w:type="dxa" w:w="1384"/>
          </w:tcPr>
          <w:p>
            <w:r>
              <w:rPr>
                <w:b/>
                <w:sz w:val="16"/>
              </w:rPr>
              <w:t>Leakage</w:t>
            </w:r>
          </w:p>
        </w:tc>
      </w:tr>
      <w:tr>
        <w:tc>
          <w:tcPr>
            <w:tcW w:type="dxa" w:w="1384"/>
          </w:tcPr>
          <w:p>
            <w:r>
              <w:rPr>
                <w:sz w:val="16"/>
              </w:rPr>
              <w:t>X (pi)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Gaussian + DRAG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0.99925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0.00011</w:t>
            </w:r>
          </w:p>
        </w:tc>
      </w:tr>
      <w:tr>
        <w:tc>
          <w:tcPr>
            <w:tcW w:type="dxa" w:w="1384"/>
          </w:tcPr>
          <w:p>
            <w:r>
              <w:rPr>
                <w:sz w:val="16"/>
              </w:rPr>
              <w:t>CZ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flux pulse + net-zero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0.9984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0.0022</w:t>
            </w:r>
          </w:p>
        </w:tc>
      </w:tr>
    </w:tbl>
    <w:p>
      <w:pPr>
        <w:pStyle w:val="p1a"/>
      </w:pPr>
      <w:r>
        <w:t>The design proposal generates three-tier recommendations: immediate (adjust pulse parameters, optimize readout), mid-term (add Purcell filter, reduce SQUID loop, improve shielding), and next-iteration (new frequency plan, substrate cleaning). JJ parameter variability (~3%) is the primary risk, mitigated by +/-50 MHz tuning margin.</w:t>
      </w:r>
    </w:p>
    <w:p>
      <w:pPr>
        <w:pStyle w:val="heading1"/>
      </w:pPr>
      <w:r>
        <w:t>Discussion</w:t>
      </w:r>
    </w:p>
    <w:p>
      <w:pPr>
        <w:pStyle w:val="p1a"/>
      </w:pPr>
      <w:r>
        <w:t>AetherQ differs from prior systems in three ways. First, it covers the full hardware lifecycle, not just computation. Second, the theoretical physicist agent provides physics-structured reasoning through nine modules. Third, the heartbeat engine enables autonomous cross-domain insight discovery.</w:t>
      </w:r>
    </w:p>
    <w:p>
      <w:pPr/>
      <w:r>
        <w:t>Limitations: (1) EM simulations use analytical theory without Ansys desktop; (2) GDS layout needs manual refinement for production masks; (3) LLM function-calling occasionally produces malformed arguments; (4) single-server deployment limits concurrency.</w:t>
      </w:r>
    </w:p>
    <w:p>
      <w:pPr/>
      <w:r>
        <w:t>Roadmap: Phase 1 (current) establishes the diagnostic closed loop. Phase 2 adds real instrument integration. Phase 3 targets autonomous chip redesign with manufacturing-aware optimization.</w:t>
      </w:r>
    </w:p>
    <w:p>
      <w:pPr>
        <w:pStyle w:val="heading1"/>
      </w:pPr>
      <w:r>
        <w:t>Conclusion</w:t>
      </w:r>
    </w:p>
    <w:p>
      <w:pPr>
        <w:pStyle w:val="p1a"/>
      </w:pPr>
      <w:r>
        <w:t>We presented AetherQ, a multi-agent AI system integrating twelve agents and 120+ tools for autonomous superconducting quantum chip research. Applied to a 20-qubit tunable-coupler chip, the system demonstrates end-to-end GDS generation, multi-physics simulation, noise budget decomposition, probabilistic root-cause diagnosis, information-optimal experiment planning, and three-tier design optimization from natural-language interaction. These capabilities represent a step toward AI-native quantum hardware development.</w:t>
      </w:r>
    </w:p>
    <w:p>
      <w:pPr>
        <w:pStyle w:val="acknowlegments"/>
      </w:pPr>
      <w:r>
        <w:t>Acknowledgments. This study was funded by [to be added].</w:t>
      </w:r>
    </w:p>
    <w:p>
      <w:pPr>
        <w:pStyle w:val="acknowlegments"/>
      </w:pPr>
      <w:r>
        <w:t>Disclosure of Interests. The authors declare no competing interests.</w:t>
      </w:r>
    </w:p>
    <w:p>
      <w:pPr>
        <w:pStyle w:val="heading1"/>
      </w:pPr>
      <w:r>
        <w:t>References</w:t>
      </w:r>
    </w:p>
    <w:p>
      <w:pPr>
        <w:pStyle w:val="referenceitem"/>
      </w:pPr>
      <w:r>
        <w:t>Arute F, Arya K, Babbush R, et al. Quantum supremacy using a programmable superconducting processor[J]. Nature, 2019, 574: 505-510.</w:t>
      </w:r>
    </w:p>
    <w:p>
      <w:pPr>
        <w:pStyle w:val="referenceitem"/>
      </w:pPr>
      <w:r>
        <w:t>Wu Y, Bao W S, Cao S, et al. Strong quantum computational advantage using a superconducting quantum processor[J]. Physical Review Letters, 2021, 127: 180501.</w:t>
      </w:r>
    </w:p>
    <w:p>
      <w:pPr>
        <w:pStyle w:val="referenceitem"/>
      </w:pPr>
      <w:r>
        <w:t>Google Quantum AI. Quantum error correction below the surface code threshold[J]. Nature, 2025, 638: 920-926.</w:t>
      </w:r>
    </w:p>
    <w:p>
      <w:pPr>
        <w:pStyle w:val="referenceitem"/>
      </w:pPr>
      <w:r>
        <w:t>IBM Quantum. The IBM Quantum Development Roadmap[EB/OL]. https://www.ibm.com/quantum/roadmap, 2024.</w:t>
      </w:r>
    </w:p>
    <w:p>
      <w:pPr>
        <w:pStyle w:val="referenceitem"/>
      </w:pPr>
      <w:r>
        <w:t>CETC. 20-Qubit Tunable-Coupler Quantum Chip Design Specification[R]. TGQ-200-000-FA09-2025, 2025.</w:t>
      </w:r>
    </w:p>
    <w:p>
      <w:pPr>
        <w:pStyle w:val="referenceitem"/>
      </w:pPr>
      <w:r>
        <w:t>Lu C, Lu C, Lange R T, et al. The AI Scientist: Towards Fully Automated Open-Ended Scientific Discovery[A]. arXiv:2408.06292, 2024.</w:t>
      </w:r>
    </w:p>
    <w:p>
      <w:pPr>
        <w:pStyle w:val="referenceitem"/>
      </w:pPr>
      <w:r>
        <w:t>Lala J, O'Donoghue O, Lála A, et al. PaperQA: Retrieval-Augmented Generative Agent for Scientific Research[A]. arXiv:2312.07559, 2023.</w:t>
      </w:r>
    </w:p>
    <w:p>
      <w:pPr>
        <w:pStyle w:val="referenceitem"/>
      </w:pPr>
      <w:r>
        <w:t>Li X, Wang Y, Chen Z, et al. Kosmos: An End-to-End AI Research Agent[A]. arXiv, 2024.</w:t>
      </w:r>
    </w:p>
    <w:p>
      <w:pPr>
        <w:pStyle w:val="referenceitem"/>
      </w:pPr>
      <w:r>
        <w:t>Zou Y, Cheng A H, Aldossary A, et al. El Agente: An Autonomous Agent for Quantum Chemistry[A]. arXiv:2505.02484, 2025.</w:t>
      </w:r>
    </w:p>
    <w:p>
      <w:pPr>
        <w:pStyle w:val="referenceitem"/>
      </w:pPr>
      <w:r>
        <w:t>Gustin I, Mantilla Calderon L, Perez-Sanchez J B, et al. El Agente Cuantico: Automating quantum simulations[A]. arXiv:2512.18847, 2025.</w:t>
      </w:r>
    </w:p>
    <w:p>
      <w:pPr>
        <w:pStyle w:val="referenceitem"/>
      </w:pPr>
      <w:r>
        <w:t>Reuer K, Landsman K A, Reagor M, et al. Autonomous calibration of superconducting qubits using k-agents[J]. Nature, 2025.</w:t>
      </w:r>
    </w:p>
    <w:p>
      <w:pPr>
        <w:pStyle w:val="referenceitem"/>
      </w:pPr>
      <w:r>
        <w:t>OpenClaw. Open-source agent framework[EB/OL]. https://github.com/openclaw, 2024.</w:t>
      </w:r>
    </w:p>
    <w:p>
      <w:pPr>
        <w:pStyle w:val="referenceitem"/>
      </w:pPr>
      <w:r>
        <w:t>Yao S, Zhao J, Yu D, et al. ReAct: Synergizing Reasoning and Acting in Language Models[A]. arXiv:2210.03629, 2022.</w:t>
      </w:r>
    </w:p>
    <w:p>
      <w:pPr>
        <w:pStyle w:val="referenceitem"/>
      </w:pPr>
      <w:r>
        <w:t>AetherQ Project. Theoretical Physicist Agent Skill Specification[R]. Internal Document, 2026.</w:t>
      </w:r>
    </w:p>
    <w:p>
      <w:pPr>
        <w:pStyle w:val="referenceitem"/>
      </w:pPr>
      <w:r>
        <w:t>Qiskit Metal. Open-source quantum hardware design[EB/OL]. https://qiskit.org/metal, 2024.</w:t>
      </w:r>
    </w:p>
    <w:p>
      <w:pPr>
        <w:pStyle w:val="referenceitem"/>
      </w:pPr>
      <w:r>
        <w:t>KQCircuits. IQM open-source superconducting chip design library[EB/OL]. https://github.com/iqm-finland/KQCircuits, 2024.</w:t>
      </w:r>
    </w:p>
    <w:p>
      <w:pPr>
        <w:pStyle w:val="referenceitem"/>
      </w:pPr>
      <w:r>
        <w:t>Brown T, Mann B, Ryder N, et al. Language models are few-shot learners[C]//NeurIPS 2020, 33: 1877-1901.</w:t>
      </w:r>
    </w:p>
    <w:p>
      <w:pPr>
        <w:pStyle w:val="referenceitem"/>
      </w:pPr>
      <w:r>
        <w:t>Wei J, Wang X, Schuurmans D, et al. Chain-of-thought prompting elicits reasoning in large language models[C]//NeurIPS 2022, 35.</w:t>
      </w:r>
    </w:p>
    <w:p>
      <w:pPr>
        <w:pStyle w:val="referenceitem"/>
      </w:pPr>
      <w:r>
        <w:t>Schick T, Dwivedi-Yu J, Dessi R, et al. Toolformer: Language models can teach themselves to use tools[C]//NeurIPS 2023, 36.</w:t>
      </w:r>
    </w:p>
    <w:p>
      <w:pPr>
        <w:pStyle w:val="referenceitem"/>
      </w:pPr>
      <w:r>
        <w:t>Patil S G, Zhang T, Wang X, et al. Gorilla: Large language model connected with massive APIs[A]. arXiv:2305.15334, 2023.</w:t>
      </w:r>
    </w:p>
    <w:p>
      <w:pPr>
        <w:pStyle w:val="referenceitem"/>
      </w:pPr>
      <w:r>
        <w:t>Wang L, Chen J, Li X, et al. NovelSeek: When Agent Becomes the Scientist[A]. arXiv, 2025.</w:t>
      </w:r>
    </w:p>
    <w:p>
      <w:pPr>
        <w:pStyle w:val="referenceitem"/>
      </w:pPr>
      <w:r>
        <w:t>Swanson K, Wu G, Zou J, et al. The Virtual Lab: AI agents design new nanobodies[A]. arXiv, 2024.</w:t>
      </w:r>
    </w:p>
    <w:p>
      <w:pPr>
        <w:pStyle w:val="referenceitem"/>
      </w:pPr>
      <w:r>
        <w:t>Darvish Rouhani B, Zhao Y, Chen J, et al. ORGANA: A Robotic Assistant for Automated Chemistry[A]. arXiv, 2024.</w:t>
      </w:r>
    </w:p>
    <w:p>
      <w:pPr>
        <w:pStyle w:val="referenceitem"/>
      </w:pPr>
      <w:r>
        <w:t>Bran A M, Cox S, Schilter O, et al. ChemCrow: Augmenting large-language models with chemistry tools[A]. arXiv:2304.05376, 2023.</w:t>
      </w:r>
    </w:p>
    <w:p>
      <w:pPr>
        <w:pStyle w:val="referenceitem"/>
      </w:pPr>
      <w:r>
        <w:t>Boiko D A, MacKnight R, Kline B, et al. Autonomous chemical research with large language models[J]. Nature, 2023, 624: 570-578.</w:t>
      </w:r>
    </w:p>
    <w:p>
      <w:pPr>
        <w:pStyle w:val="referenceitem"/>
      </w:pPr>
      <w:r>
        <w:t>Zhang K, Li Y, Wang H, et al. ChemAgent: Multi-Agent Coordination for Chemistry[A]. arXiv, 2025.</w:t>
      </w:r>
    </w:p>
    <w:p>
      <w:pPr>
        <w:pStyle w:val="referenceitem"/>
      </w:pPr>
      <w:r>
        <w:t>Schiltz F, Wu Q, Chen R, et al. MDCrow: A multi-agent system for molecular dynamics[A]. arXiv, 2025.</w:t>
      </w:r>
    </w:p>
    <w:p>
      <w:pPr>
        <w:pStyle w:val="referenceitem"/>
      </w:pPr>
      <w:r>
        <w:t>Meng F, Liu J, Zhang Y, et al. QCR-LLM: Integrating quantum algorithms in LLM reasoning[A]. arXiv, 2025.</w:t>
      </w:r>
    </w:p>
    <w:p>
      <w:pPr>
        <w:pStyle w:val="referenceitem"/>
      </w:pPr>
      <w:r>
        <w:t>Xu H, Wang Z, Chen L, et al. PhIDO: Automated design of integrated photonic circuits[A]. arXiv, 2024.</w:t>
      </w:r>
    </w:p>
    <w:p>
      <w:pPr>
        <w:pStyle w:val="referenceitem"/>
      </w:pPr>
      <w:r>
        <w:t>Saggio V, Asenbeck B E, Hamann A, et al. Experimental quantum speed-up in reinforcement learning agents[J]. Nature, 2021, 591: 229-233.</w:t>
      </w:r>
    </w:p>
    <w:sectPr w:rsidR="00F5783C" w:rsidRPr="00606587" w:rsidSect="009F7F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7FCE" w:rsidRDefault="009F7FCE">
      <w:r>
        <w:separator/>
      </w:r>
    </w:p>
  </w:endnote>
  <w:endnote w:type="continuationSeparator" w:id="0">
    <w:p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7FCE" w:rsidRDefault="009F7FCE" w:rsidP="009F7FCE">
      <w:pPr>
        <w:ind w:firstLine="0"/>
      </w:pPr>
      <w:r>
        <w:separator/>
      </w:r>
    </w:p>
  </w:footnote>
  <w:footnote w:type="continuationSeparator" w:id="0">
    <w:p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090B89">
      <w:t xml:space="preserve"> </w:t>
    </w:r>
    <w:r w:rsidR="00090B89"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Pr="00090B89" w:rsidRDefault="00090B89" w:rsidP="00090B89">
    <w:pPr>
      <w:pStyle w:val="runningheadright"/>
    </w:pPr>
    <w:r>
      <w:tab/>
    </w:r>
    <w:r w:rsidRPr="00090B89">
      <w:t>Contribution Title (shortened if too long) 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Default="00090B89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95682A"/>
    <w:rsid w:val="009930E4"/>
    <w:rsid w:val="009B2539"/>
    <w:rsid w:val="009F7FCE"/>
    <w:rsid w:val="00A13D60"/>
    <w:rsid w:val="00B23481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ACF1C1"/>
  <w15:docId w15:val="{4350FD72-C282-4529-999A-E6627877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eastAsiaTheme="Times New Roman" w:hAnsiTheme="Times New Roman" w:cs="Times New Roman"/>
        <w:sz w:val="20"/>
        <w:szCs w:val="20"/>
        <w:lang w:val="en-US" w:eastAsia="en-US" w:bidi="ar-SA"/>
      </w:rPr>
    </w:rPrDefault>
    <w:pPrDefault>
      <w:pPr>
        <w:spacing w:after="0" w:line="240" w:lineRule="atLeast"/>
      </w:pPr>
    </w:pPrDefault>
  </w:docDefaults>
  <w:latentStyles w:defLockedState="0" w:defUIPriority="0" w:defSemiHidden="1" w:defUnhideWhenUsed="0" w:defQFormat="0" w:count="267">
    <w:lsdException w:name="Normal" w:semiHidden="0" w:qFormat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val="en-US" w:eastAsia="en-US" w:bidi="ar-SA"/>
    </w:rPr>
  </w:style>
  <w:style w:type="character" w:default="1" w:styleId="Default Paragraph Font">
    <w:name w:val="Default Paragraph Font"/>
    <w:uiPriority w:val="1"/>
    <w:semiHidden/>
    <w:unhideWhenUsed/>
  </w:style>
  <w:style w:type="table" w:default="1" w:styleId="Normal Table">
    <w:name w:val="Normal Table"/>
    <w:uiPriority w:val="99"/>
    <w:semiHidden/>
    <w:unhideWhenUsed/>
    <w:tblPr>
      <w:tblInd w:w="0" w:type="dxa"/>
      <w:tblCellMar>
        <w:top w:w="57" w:type="dxa"/>
        <w:left w:w="57" w:type="dxa"/>
        <w:bottom w:w="57" w:type="dxa"/>
        <w:right w:w="57" w:type="dxa"/>
      </w:tblCellMar>
    </w:tblPr>
  </w:style>
  <w:style w:type="numbering" w:default="1" w:styleId="No 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 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 Paragraph 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 reference">
    <w:name w:val="footnote reference"/>
    <w:basedOn w:val="Default Paragraph 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type="paragraph" w:customStyle="1" w:styleId="heading1">
    <w:name w:val="heading1"/>
    <w:basedOn w:val="Normal"/>
    <w:next w:val="p1a"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  <w:numPr>
        <w:numId w:val="7"/>
      </w:numPr>
    </w:pPr>
    <w:rPr>
      <w:b/>
      <w:sz w:val="24"/>
    </w:rPr>
  </w:style>
  <w:style w:type="paragraph" w:styleId="heading 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uppressAutoHyphens/>
      <w:spacing w:before="360" w:after="160"/>
      <w:ind w:left="567" w:hanging="567"/>
      <w:jc w:val="left"/>
      <w:outlineLvl w:val="1"/>
      <w:numPr>
        <w:ilvl w:val="1"/>
        <w:numId w:val="7"/>
      </w:numPr>
    </w:pPr>
    <w:rPr>
      <w:b/>
    </w:rPr>
  </w:style>
  <w:style w:type="paragraph" w:styleId="heading 2">
    <w:name w:val="heading 2"/>
    <w:basedOn w:val="Normal"/>
    <w:next w:val="p1a"/>
    <w:qFormat/>
    <w:semiHidden/>
    <w:unhideWhenUsed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 3">
    <w:name w:val="heading 3"/>
    <w:basedOn w:val="Normal"/>
    <w:next w:val="Normal"/>
    <w:qFormat/>
    <w:pPr>
      <w:spacing w:before="360"/>
      <w:ind w:firstLine="0"/>
      <w:outlineLvl w:val="2"/>
      <w:b/>
    </w:pPr>
  </w:style>
  <w:style w:type="character" w:customStyle="1" w:styleId="heading3">
    <w:name w:val="heading3"/>
    <w:basedOn w:val="Default Paragraph Font"/>
    <w:rPr>
      <w:b/>
    </w:rPr>
  </w:style>
  <w:style w:type="paragraph" w:styleId="acknowlegments">
    <w:name w:val="acknowlegments"/>
    <w:basedOn w:val="Normal"/>
    <w:next w:val="acknowlegments"/>
    <w:qFormat/>
    <w:pPr>
      <w:spacing w:before="240"/>
      <w:ind w:firstLine="0"/>
      <w:spacing w:line="220" w:lineRule="atLeast"/>
      <w:b/>
    </w:pPr>
    <w:rPr>
      <w:sz w:val="18"/>
    </w:rPr>
  </w:style>
  <w:style w:type="paragraph" w:styleId="heading 4">
    <w:name w:val="heading 4"/>
    <w:basedOn w:val="Normal"/>
    <w:next w:val="Normal"/>
    <w:qFormat/>
    <w:pPr>
      <w:spacing w:before="240"/>
      <w:ind w:firstLine="0"/>
      <w:outlineLvl w:val="3"/>
      <w:i/>
    </w:pPr>
  </w:style>
  <w:style w:type="character" w:customStyle="1" w:styleId="heading4">
    <w:name w:val="heading4"/>
    <w:basedOn w:val="Default Paragraph 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 Paragraph 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 List"/>
    <w:pPr>
      <w:numPr>
        <w:numId w:val="1"/>
      </w:numPr>
    </w:pPr>
  </w:style>
  <w:style w:type="numbering" w:customStyle="1" w:styleId="itemization2">
    <w:name w:val="itemization2"/>
    <w:basedOn w:val="No 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 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ind w:firstLine="0"/>
      <w:jc w:val="left"/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ind w:firstLine="0"/>
      <w:jc w:val="left"/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character" w:styleId="page number">
    <w:name w:val="page number"/>
    <w:basedOn w:val="Default Paragraph 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 Paragraph Font"/>
    <w:rPr>
      <w:rFonts w:ascii="Courier" w:hAnsi="Courier"/>
      <w:noProof/>
    </w:rPr>
  </w:style>
  <w:style w:type="character" w:customStyle="1" w:styleId="ORCID">
    <w:name w:val="ORCID"/>
    <w:basedOn w:val="Default Paragraph Font"/>
    <w:rPr>
      <w:position w:val="0"/>
      <w:vertAlign w:val="superscript"/>
    </w:rPr>
  </w:style>
  <w:style w:type="paragraph" w:styleId="footnote 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springer.com/lncs" TargetMode="Externa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footer" Target="footer2.xml"/><Relationship Id="rId1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BE4E-410B-82E8-D1B77A0F4C32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4E-410B-82E8-D1B77A0F4C32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E4E-410B-82E8-D1B77A0F4C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'1.0' encoding='UTF-8' standalone='yes'?>
<Relationships xmlns="http://schemas.openxmlformats.org/package/2006/relationships"><Relationship Id="FigCaption" Type="http://schemas.openxmlformats.org/officeDocument/2006/relationships/image" Target="images/FigCaption0.ICO"/><Relationship Id="removespace" Type="http://schemas.openxmlformats.org/officeDocument/2006/relationships/image" Target="images/removespace0.ICO"/><Relationship Id="normal32" Type="http://schemas.openxmlformats.org/officeDocument/2006/relationships/image" Target="images/normal3200.ICO"/><Relationship Id="ORCID" Type="http://schemas.openxmlformats.org/officeDocument/2006/relationships/image" Target="images/ORCID0.ICO"/><Relationship Id="papertitle" Type="http://schemas.openxmlformats.org/officeDocument/2006/relationships/image" Target="images/papertitle.png"/><Relationship Id="addspace" Type="http://schemas.openxmlformats.org/officeDocument/2006/relationships/image" Target="images/addspace0.ICO"/><Relationship Id="arrowleft" Type="http://schemas.openxmlformats.org/officeDocument/2006/relationships/image" Target="images/arrowleft0.ICO"/><Relationship Id="bulletitem" Type="http://schemas.openxmlformats.org/officeDocument/2006/relationships/image" Target="images/bulletitem0.ICO"/><Relationship Id="togglenumbering" Type="http://schemas.openxmlformats.org/officeDocument/2006/relationships/image" Target="images/togglenumbering0.ICO"/><Relationship Id="eqnumber" Type="http://schemas.openxmlformats.org/officeDocument/2006/relationships/image" Target="images/eqnumber0.ICO"/><Relationship Id="normalspace" Type="http://schemas.openxmlformats.org/officeDocument/2006/relationships/image" Target="images/normalspace00.ICO"/><Relationship Id="abstract" Type="http://schemas.openxmlformats.org/officeDocument/2006/relationships/image" Target="images/abstract0.ICO"/><Relationship Id="arrowright" Type="http://schemas.openxmlformats.org/officeDocument/2006/relationships/image" Target="images/arrowright0.ICO"/><Relationship Id="equation" Type="http://schemas.openxmlformats.org/officeDocument/2006/relationships/image" Target="images/equation0.ICO"/><Relationship Id="RedoStyles" Type="http://schemas.openxmlformats.org/officeDocument/2006/relationships/image" Target="images/RedoStyles0.ICO"/><Relationship Id="TabCaption" Type="http://schemas.openxmlformats.org/officeDocument/2006/relationships/image" Target="images/TabCaption0.ICO"/><Relationship Id="InsertImage" Type="http://schemas.openxmlformats.org/officeDocument/2006/relationships/image" Target="images/InsertImage0.ICO"/><Relationship Id="squeeze" Type="http://schemas.openxmlformats.org/officeDocument/2006/relationships/image" Target="images/squeeze00.ICO"/><Relationship Id="expand" Type="http://schemas.openxmlformats.org/officeDocument/2006/relationships/image" Target="images/expand00.ICO"/><Relationship Id="dashitem" Type="http://schemas.openxmlformats.org/officeDocument/2006/relationships/image" Target="images/dashitem0.ICO"/><Relationship Id="numitem" Type="http://schemas.openxmlformats.org/officeDocument/2006/relationships/image" Target="images/numitem0.ICO"/><Relationship Id="papersubtitle" Type="http://schemas.openxmlformats.org/officeDocument/2006/relationships/image" Target="images/subtitle.png"/><Relationship Id="HeaderFooter" Type="http://schemas.openxmlformats.org/officeDocument/2006/relationships/image" Target="images/HeaderFooter0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Styles and macros for Springer Lecture Notes</dc:description>
  <cp:lastModifiedBy/>
  <cp:revision>3</cp:revision>
  <dcterms:created xsi:type="dcterms:W3CDTF">2023-10-25T07:01:00Z</dcterms:created>
  <dcterms:modified xsi:type="dcterms:W3CDTF">2023-10-25T07:01:00Z</dcterms:modified>
</cp:coreProperties>
</file>