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UI/images/FigCaption0.ICO" ContentType="image/.ico"/>
  <Override PartName="/customUI/images/HeaderFooter0.ICO" ContentType="image/.ico"/>
  <Override PartName="/customUI/images/InsertImage0.ICO" ContentType="image/.ico"/>
  <Override PartName="/customUI/images/ORCID0.ICO" ContentType="image/.ico"/>
  <Override PartName="/customUI/images/RedoStyles0.ICO" ContentType="image/.ico"/>
  <Override PartName="/customUI/images/TabCaption0.ICO" ContentType="image/.ico"/>
  <Override PartName="/customUI/images/abstract0.ICO" ContentType="image/.ico"/>
  <Override PartName="/customUI/images/addspace0.ICO" ContentType="image/.ico"/>
  <Override PartName="/customUI/images/arrowleft0.ICO" ContentType="image/.ico"/>
  <Override PartName="/customUI/images/arrowright0.ICO" ContentType="image/.ico"/>
  <Override PartName="/customUI/images/bulletitem0.ICO" ContentType="image/.ico"/>
  <Override PartName="/customUI/images/dashitem0.ICO" ContentType="image/.ico"/>
  <Override PartName="/customUI/images/eqnumber0.ICO" ContentType="image/.ico"/>
  <Override PartName="/customUI/images/equation0.ICO" ContentType="image/.ico"/>
  <Override PartName="/customUI/images/expand00.ICO" ContentType="image/.ico"/>
  <Override PartName="/customUI/images/normal3200.ICO" ContentType="image/.ico"/>
  <Override PartName="/customUI/images/normalspace00.ICO" ContentType="image/.ico"/>
  <Override PartName="/customUI/images/numitem0.ICO" ContentType="image/.ico"/>
  <Override PartName="/customUI/images/papertitle.png" ContentType="image/.png"/>
  <Override PartName="/customUI/images/removespace0.ICO" ContentType="image/.ico"/>
  <Override PartName="/customUI/images/squeeze00.ICO" ContentType="image/.ico"/>
  <Override PartName="/customUI/images/subtitle.png" ContentType="image/.png"/>
  <Override PartName="/customUI/images/togglenumbering0.ICO" ContentType="image/.ico"/>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papertitle"/>
      </w:pPr>
      <w:r>
        <w:t>AetherQ: A Multi-Agent AI System for Autonomous Superconducting Quantum Chip Research</w:t>
      </w:r>
    </w:p>
    <w:p>
      <w:pPr>
        <w:pStyle w:val="author"/>
      </w:pPr>
      <w:r>
        <w:t>Wei Chen</w:t>
      </w:r>
      <w:r>
        <w:rPr>
          <w:vertAlign w:val="superscript"/>
        </w:rPr>
        <w:t>1</w:t>
      </w:r>
      <w:r>
        <w:t>, Ming Li</w:t>
      </w:r>
      <w:r>
        <w:rPr>
          <w:vertAlign w:val="superscript"/>
        </w:rPr>
        <w:t>1</w:t>
      </w:r>
      <w:r>
        <w:t>, Jian Zhang</w:t>
      </w:r>
      <w:r>
        <w:rPr>
          <w:vertAlign w:val="superscript"/>
        </w:rPr>
        <w:t>2</w:t>
      </w:r>
      <w:r>
        <w:t>, Yun Wang</w:t>
      </w:r>
      <w:r>
        <w:rPr>
          <w:vertAlign w:val="superscript"/>
        </w:rPr>
        <w:t>1</w:t>
      </w:r>
      <w:r>
        <w:t>, and Xiao Liu</w:t>
      </w:r>
      <w:r>
        <w:rPr>
          <w:vertAlign w:val="superscript"/>
        </w:rPr>
        <w:t>2</w:t>
      </w:r>
    </w:p>
    <w:p>
      <w:pPr>
        <w:pStyle w:val="address"/>
      </w:pPr>
      <w:r>
        <w:rPr>
          <w:vertAlign w:val="superscript"/>
        </w:rPr>
        <w:t>1</w:t>
      </w:r>
      <w:r>
        <w:t xml:space="preserve"> Institute of Quantum Computing, University of Science and Technology, Hefei 230026, China</w:t>
      </w:r>
    </w:p>
    <w:p>
      <w:pPr>
        <w:pStyle w:val="address"/>
      </w:pPr>
      <w:r>
        <w:rPr>
          <w:vertAlign w:val="superscript"/>
        </w:rPr>
        <w:t>2</w:t>
      </w:r>
      <w:r>
        <w:t xml:space="preserve"> Department of Electrical Engineering, Tsinghua University, Beijing 100084, China</w:t>
      </w:r>
    </w:p>
    <w:p>
      <w:pPr>
        <w:pStyle w:val="address"/>
      </w:pPr>
      <w:r>
        <w:t>{wei.chen, ming.li}@ustc.edu.cn, {jzhang, xliu}@tsinghua.edu.cn</w:t>
      </w:r>
    </w:p>
    <w:p>
      <w:pPr>
        <w:pStyle w:val="abstract"/>
      </w:pPr>
      <w:r>
        <w:rPr>
          <w:b/>
        </w:rPr>
        <w:t xml:space="preserve">Abstract. </w:t>
      </w:r>
      <w:r>
        <w:t>The design and characterization of superconducting quantum processors demands deep expertise spanning quantum physics, microwave engineering, materials science, and electronic design automation (EDA). Current workflows rely heavily on manual iteration between domain experts, creating bottlenecks that impede the pace of quantum hardware scaling. We present AetherQ, a multi-agent AI system that orchestrates twelve specialized large language model (LLM) agents to autonomously perform the full research cycle of superconducting quantum chip development, from Hamiltonian construction and noise modeling through experimental diagnosis, pulse optimization, and physical layout generation. AetherQ introduces a hierarchical planning-execution architecture in which a central Coordinator agent decomposes high-level research goals into sub-tasks, dispatches them to domain-specific agents (Theoretical Physicist, Experimentalist, Designer, etc.), and aggregates results through a structured tool-call protocol with graceful degradation. Each agent encapsulates domain knowledge within nine physics modules (M0 through M8) covering qubit parameter extraction, coupler analysis, noise budget decomposition, anomaly diagnosis, experiment planning, electromagnetic simulation orchestration, gate pulse optimization, design proposal synthesis, and GDS layout generation. We validate AetherQ on a 20-qubit transmon chip with tunable couplers, demonstrating autonomous Hamiltonian construction for 20 qubits and 19 couplers, noise budget analysis identifying dielectric loss (39.5%) and TLS defects (25.9%) as dominant T1 limiters, multi-hypothesis anomaly diagnosis across four failure modes, adaptive experiment planning under time-budget constraints, full-stack electromagnetic simulation (Q3D, LOM, EPR, eigenmode) for five qubits, and pulse optimization achieving predicted single-qubit gate fidelity of 99.925% and two-qubit CZ gate fidelity of 99.84%. To the best of our knowledge, AetherQ is the first system to unify LLM-based scientific reasoning with the complete superconducting quantum chip research pipeline, offering a new paradigm for AI-accelerated quantum hardware development.</w:t>
      </w:r>
    </w:p>
    <w:p>
      <w:pPr>
        <w:pStyle w:val="keywords"/>
      </w:pPr>
      <w:r>
        <w:rPr>
          <w:b/>
        </w:rPr>
        <w:t xml:space="preserve">Keywords: </w:t>
      </w:r>
      <w:r>
        <w:t>Superconducting qubits, Multi-agent systems, Large language models, Quantum chip design, Electronic design automation, Noise modeling, Pulse optimization</w:t>
      </w:r>
    </w:p>
    <w:p>
      <w:pPr>
        <w:pStyle w:val="heading1"/>
      </w:pPr>
      <w:r>
        <w:t>Introduction</w:t>
      </w:r>
    </w:p>
    <w:p>
      <w:pPr>
        <w:pStyle w:val="p1a"/>
      </w:pPr>
      <w:r>
        <w:t>Superconducting quantum computing has emerged as one of the most promising platforms for realizing fault-tolerant quantum processors [1,2]. Over the past two decades, the coherence times of superconducting transmon qubits have improved by more than five orders of magnitude, from nanoseconds to hundreds of microseconds [3], enabling the demonstration of quantum error correction codes [4], quantum supremacy experiments [5], and the first steps toward practical quantum advantage [6]. Leading industrial efforts at Google, IBM, and various academic laboratories have scaled superconducting processors to hundreds of physical qubits, with roadmaps targeting thousands of qubits within the current decade [7,8]. However, the design, fabrication, and characterization of each new generation of quantum processors remains a labor-intensive endeavor that critically depends on the coordinated expertise of physicists, microwave engineers, materials scientists, and EDA specialists.</w:t>
      </w:r>
    </w:p>
    <w:p>
      <w:pPr/>
      <w:r>
        <w:t>The transmon qubit, introduced by Koch et al. [3], has become the workhorse of superconducting quantum processors due to its reduced charge noise sensitivity achieved through operating in the regime where the Josephson energy EJ greatly exceeds the charging energy EC (typically EJ/EC &gt; 20). Modern transmon architectures incorporate tunable couplers [56] that enable dynamic control of qubit-qubit interactions, allowing residual ZZ coupling to be suppressed below 20 kHz while maintaining coupling strengths exceeding 15 MHz for fast two-qubit gates. The design of these devices requires careful frequency planning to avoid spectral collisions [10], electromagnetic simulation to extract capacitance matrices and participation ratios [11,12], and iterative optimization of geometric parameters to meet target specifications for coherence times, gate fidelities, and readout performance.</w:t>
      </w:r>
    </w:p>
    <w:p>
      <w:pPr>
        <w:pStyle w:val="p1a"/>
      </w:pPr>
      <w:r>
        <w:t>The research cycle for a superconducting quantum chip typically involves multiple tightly coupled stages. First, the chip designer must specify qubit frequencies, anharmonicities, and coupling strengths that satisfy a complex web of constraints: neighboring qubit frequencies must be sufficiently detuned to avoid frequency collisions, yet close enough to enable fast two-qubit gates; readout resonator frequencies must fall within the bandwidth of the measurement chain while maintaining adequate dispersive shifts; and coupler parameters must balance residual ZZ interaction suppression against gate speed [9,10]. Second, these specifications must be translated into physical geometries through electromagnetic simulation, a process that involves capacitance extraction (Q3D), lumped oscillator modeling (LOM), energy participation ratio (EPR) analysis, and eigenmode solving [11,12]. Third, after fabrication and cooldown, the chip must be characterized through a battery of experiments including spectroscopy, Rabi oscillations, Ramsey interferometry, randomized benchmarking, and noise spectroscopy [13,14]. When performance falls short of targets, the experimentalist must diagnose root causes, a task that requires synthesizing information from multiple measurement modalities and comparing against theoretical noise models [15,16]. Finally, the insights gained must feed back into the next design iteration, closing the loop but often requiring months of elapsed time.</w:t>
      </w:r>
    </w:p>
    <w:p>
      <w:pPr/>
      <w:r>
        <w:t>The complexity of this design cycle is compounded by the interdependence between stages. For example, a change in the Josephson junction resistance during fabrication shifts qubit frequencies, which in turn affects the optimal coupler bias point, readout dispersive shift, and gate pulse parameters. Diagnosing whether a measured performance degradation originates from design limitations, fabrication variability, or measurement setup issues requires expertise spanning multiple domains. A recent comprehensive survey on Quantum Design Automation (QDA) [57] identified this interdependence as a fundamental challenge, advocating for holistic co-design frameworks that integrate physical-level and logic-level optimization. The survey catalogues the state of the art across layout design, electromagnetic simulation, Hamiltonian derivation, decoherence analysis, Technology Computer-Aided Design (TCAD), and physical verification, highlighting the need for automated tools that can orchestrate these diverse workflows.</w:t>
      </w:r>
    </w:p>
    <w:p>
      <w:pPr>
        <w:pStyle w:val="p1a"/>
      </w:pPr>
      <w:r>
        <w:t>Recent advances in large language models (LLMs) have demonstrated remarkable capabilities in scientific reasoning, code generation, and multi-step planning [17,18]. Systems such as GPT-4, Claude, and Gemini have shown the ability to understand complex physics problems, generate executable simulation scripts, and synthesize knowledge across disciplinary boundaries [19,20]. The emergence of agentic AI, where LLMs are augmented with tool use, memory, and planning capabilities, has opened the possibility of automating complex scientific workflows that were previously the exclusive domain of human experts [21,22]. Multi-agent systems, in which specialized LLM agents collaborate through structured communication protocols, have shown particular promise for tasks requiring diverse expertise [23,24].</w:t>
      </w:r>
    </w:p>
    <w:p>
      <w:pPr>
        <w:pStyle w:val="p1a"/>
      </w:pPr>
      <w:r>
        <w:t>Despite these advances, the application of LLM-based agents to quantum hardware research remains largely unexplored. Existing AI-for-quantum efforts have focused on narrow tasks such as quantum circuit optimization [25], error mitigation [26], or variational algorithm design [27], without addressing the full hardware development pipeline. The gap between general-purpose LLM agents and the specific needs of quantum chip research is substantial: the domain requires precise numerical computation, adherence to physical constraints, integration with specialized simulation tools, and the ability to reason about failure modes at the intersection of materials science, electromagnetic theory, and quantum mechanics.</w:t>
      </w:r>
    </w:p>
    <w:p>
      <w:pPr/>
      <w:r>
        <w:t>The gap between computational chemistry automation and quantum hardware automation is significant. While computational chemistry workflows are predominantly software-based (generating input files, running simulations, parsing outputs), quantum hardware workflows involve physical artifacts (GDS layout files, fabricated chips, cryogenic measurement data) and require real-time interaction with instruments and manufacturing execution systems. Moreover, the error diagnosis in quantum hardware is fundamentally more complex: a low gate fidelity could stem from frequency collisions in the design, junction parameter drift during fabrication, insufficient magnetic shielding, thermal photon population, or pulse distortion in the control electronics. Attributing performance to root causes requires combining theoretical models, simulation data, and experimental evidence in a structured reasoning framework that goes beyond pattern matching.</w:t>
      </w:r>
    </w:p>
    <w:p>
      <w:pPr>
        <w:pStyle w:val="p1a"/>
      </w:pPr>
      <w:r>
        <w:t>In this paper, we present AetherQ, a multi-agent AI system specifically designed to automate the research cycle of superconducting quantum chip development. AetherQ comprises twelve specialized agents coordinated by a central planner, with each agent encapsulating domain expertise through a combination of LLM reasoning, structured tool calls, and physics-informed computation modules. Our key contributions are as follows: (1) We propose a hierarchical multi-agent architecture that decomposes the quantum chip research pipeline into modular, composable sub-tasks with graceful degradation under tool failures. (2) We introduce nine physics modules (M0-M8) that encode domain knowledge for Hamiltonian construction, noise analysis, anomaly diagnosis, experiment planning, simulation orchestration, pulse optimization, design synthesis, and layout generation. (3) We validate the system on a realistic 20-qubit transmon chip with tunable couplers, demonstrating end-to-end autonomous operation across six diverse experimental tasks. (4) We show that AetherQ can identify dominant noise mechanisms, diagnose performance anomalies with ranked hypotheses, plan adaptive experiments under budget constraints, and generate optimized gate pulses with predicted fidelities exceeding 99.9% for single-qubit gates.</w:t>
      </w:r>
    </w:p>
    <w:p>
      <w:pPr>
        <w:pStyle w:val="heading1"/>
      </w:pPr>
      <w:r>
        <w:t>Related Work</w:t>
      </w:r>
    </w:p>
    <w:p>
      <w:pPr>
        <w:pStyle w:val="heading2"/>
      </w:pPr>
      <w:r>
        <w:t>LLM-Based Scientific Agents</w:t>
      </w:r>
    </w:p>
    <w:p>
      <w:pPr>
        <w:pStyle w:val="p1a"/>
      </w:pPr>
      <w:r>
        <w:t>The concept of using LLMs as autonomous scientific agents has gained significant traction following the demonstration of tool-augmented language models [17,28]. ChemCrow [29] pioneered the integration of LLMs with chemistry-specific tools for molecular design and synthesis planning, while Coscientist [30] demonstrated autonomous wet-lab experiment design and execution. In the broader scientific domain, systems like SciAgent [31] and ResearchAgent [32] have shown the ability to navigate literature, formulate hypotheses, and design experiments, though primarily in domains with well-established computational tools. The multi-agent paradigm has been explored by systems such as AutoGen [23], MetaGPT [33], and CAMEL [34], which demonstrate that role-specialized agents can outperform monolithic LLMs on complex tasks requiring diverse expertise. However, none of these systems address the specific challenges of quantum hardware research, which requires tight integration between theoretical physics reasoning, numerical simulation, and experimental design.</w:t>
      </w:r>
    </w:p>
    <w:p>
      <w:pPr>
        <w:pStyle w:val="heading2"/>
      </w:pPr>
      <w:r>
        <w:t>AI for Quantum Computing</w:t>
      </w:r>
    </w:p>
    <w:p>
      <w:pPr>
        <w:pStyle w:val="p1a"/>
      </w:pPr>
      <w:r>
        <w:t>Machine learning techniques have been applied to various aspects of quantum computing, including quantum state tomography [35], quantum error correction decoding [36,37], variational quantum algorithm optimization [27], and quantum circuit compilation [25]. At the hardware level, reinforcement learning has been used for qubit frequency tuneup [38], gate calibration [39], and readout optimization [40]. Neural network surrogate models have been proposed for accelerating electromagnetic simulation of superconducting circuits [41,42]. More recently, LLMs have been explored for quantum circuit generation [43] and quantum error analysis [44]. However, these approaches address isolated tasks rather than the integrated research pipeline. AetherQ differs fundamentally by providing an end-to-end system that spans from theoretical modeling through experimental validation.</w:t>
      </w:r>
    </w:p>
    <w:p>
      <w:pPr>
        <w:pStyle w:val="heading2"/>
      </w:pPr>
      <w:r>
        <w:t>Electronic Design Automation for Quantum Chips</w:t>
      </w:r>
    </w:p>
    <w:p>
      <w:pPr>
        <w:pStyle w:val="p1a"/>
      </w:pPr>
      <w:r>
        <w:t>The EDA community has begun to develop specialized tools for superconducting quantum circuit design. KQCircuits [45] provides an open-source framework for generating superconducting circuit layouts, while Qiskit Metal [46] offers an integrated design environment with built-in electromagnetic analysis capabilities. SQDMetal [47] extends these capabilities with support for 3D integration and flip-chip architectures. Commercial tools from Ansys (HFSS, Q3D) and Sonnet remain the industry standard for electromagnetic simulation of superconducting circuits [11,48]. Despite these advances, the gap between EDA tools and physics-driven design optimization remains significant: designers must manually translate physics requirements into geometric parameters, interpret simulation results, and iterate on designs. AetherQ bridges this gap by using LLM agents to orchestrate the entire design flow, from physics specification through simulation to layout generation.</w:t>
      </w:r>
    </w:p>
    <w:p>
      <w:pPr/>
      <w:r>
        <w:t>The QDesignOptimizer framework [58] represents a notable advance in automated superconducting circuit design, combining high-accuracy electromagnetic simulations in Ansys HFSS with Energy Participation Ratio (EPR) analysis integrated into Qiskit Metal. The framework uses physics-informed nonlinear models to guide parameter updates, significantly reducing manual intervention in the optimization loop. For larger-scale chips, Li et al. [59] proposed a graph neural network (GNN)-based parameter design algorithm that achieves 51% error reduction compared to conventional methods for circuits approaching 870 qubits, with computation time reduced from 90 minutes to 27 seconds through a 'three-stair scaling' mechanism. These advances demonstrate the growing sophistication of automated design tools, but they remain focused on individual stages of the pipeline rather than providing end-to-end orchestration.</w:t>
      </w:r>
    </w:p>
    <w:p>
      <w:pPr>
        <w:pStyle w:val="heading2"/>
      </w:pPr>
      <w:r>
        <w:t>Gap Analysis and Our Position</w:t>
      </w:r>
    </w:p>
    <w:p>
      <w:pPr>
        <w:pStyle w:val="p1a"/>
      </w:pPr>
      <w:r>
        <w:t>Table 1 summarizes the positioning of AetherQ relative to existing work. The key differentiator is the integration of LLM-based scientific reasoning with the full quantum chip research pipeline, encompassing Hamiltonian modeling, noise analysis, diagnosis, experiment planning, simulation, pulse optimization, and layout generation within a unified multi-agent framework. While prior systems excel at individual tasks, AetherQ is the first to provide autonomous end-to-end coverage of the research cycle, with structured inter-agent communication and graceful degradation under partial failures.</w:t>
      </w:r>
    </w:p>
    <w:p>
      <w:pPr/>
      <w:r>
        <w:t>A recent landmark study by Li et al. [60] demonstrated LLM-assisted superconducting qubit experiments, where an LLM framework generates and invokes experimental tools on-demand via a knowledge base, enabling autonomous resonator characterization and quantum non-demolition (QND) measurements. The QUASAR framework [61] addresses quantum circuit generation through agentic reinforcement learning, achieving 99.31% validity in quantum assembly code generation. Google's work on reinforcement learning for quantum error correction [62] shows that calibration can be unified with computation through continuous parameter adjustment during operation. These developments, while impressive individually, highlight the absence of a unifying framework that integrates design, simulation, fabrication tracking, measurement, and analysis into a coherent multi-agent system. AetherQ addresses this gap by providing a single platform where all twelve roles of a quantum chip research team are represented as specialized AI agents with access to the appropriate domain tools.</w:t>
      </w:r>
    </w:p>
    <w:p>
      <w:pPr>
        <w:pStyle w:val="tablecaption"/>
        <w:jc w:val="center"/>
      </w:pPr>
      <w:r>
        <w:t>Table 1. Comparison of AetherQ with related systems across key capability dimensions.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53"/>
        <w:gridCol w:w="1153"/>
        <w:gridCol w:w="1153"/>
        <w:gridCol w:w="1153"/>
        <w:gridCol w:w="1153"/>
        <w:gridCol w:w="1153"/>
      </w:tblGrid>
      <w:tr>
        <w:tc>
          <w:tcPr>
            <w:tcW w:type="dxa" w:w="1153"/>
            <w:tcMar/>
          </w:tcPr>
          <w:p>
            <w:pPr>
              <w:jc w:val="center"/>
            </w:pPr>
            <w:r>
              <w:rPr>
                <w:b/>
                <w:sz w:val="16"/>
              </w:rPr>
              <w:t>System</w:t>
            </w:r>
          </w:p>
        </w:tc>
        <w:tc>
          <w:tcPr>
            <w:tcW w:type="dxa" w:w="1153"/>
            <w:tcMar/>
          </w:tcPr>
          <w:p>
            <w:pPr>
              <w:jc w:val="center"/>
            </w:pPr>
            <w:r>
              <w:rPr>
                <w:b/>
                <w:sz w:val="16"/>
              </w:rPr>
              <w:t>Domain</w:t>
            </w:r>
          </w:p>
        </w:tc>
        <w:tc>
          <w:tcPr>
            <w:tcW w:type="dxa" w:w="1153"/>
            <w:tcMar/>
          </w:tcPr>
          <w:p>
            <w:pPr>
              <w:jc w:val="center"/>
            </w:pPr>
            <w:r>
              <w:rPr>
                <w:b/>
                <w:sz w:val="16"/>
              </w:rPr>
              <w:t>Multi-Agent</w:t>
            </w:r>
          </w:p>
        </w:tc>
        <w:tc>
          <w:tcPr>
            <w:tcW w:type="dxa" w:w="1153"/>
            <w:tcMar/>
          </w:tcPr>
          <w:p>
            <w:pPr>
              <w:jc w:val="center"/>
            </w:pPr>
            <w:r>
              <w:rPr>
                <w:b/>
                <w:sz w:val="16"/>
              </w:rPr>
              <w:t>Tool Use</w:t>
            </w:r>
          </w:p>
        </w:tc>
        <w:tc>
          <w:tcPr>
            <w:tcW w:type="dxa" w:w="1153"/>
            <w:tcMar/>
          </w:tcPr>
          <w:p>
            <w:pPr>
              <w:jc w:val="center"/>
            </w:pPr>
            <w:r>
              <w:rPr>
                <w:b/>
                <w:sz w:val="16"/>
              </w:rPr>
              <w:t>Physics Modules</w:t>
            </w:r>
          </w:p>
        </w:tc>
        <w:tc>
          <w:tcPr>
            <w:tcW w:type="dxa" w:w="1153"/>
            <w:tcMar/>
          </w:tcPr>
          <w:p>
            <w:pPr>
              <w:jc w:val="center"/>
            </w:pPr>
            <w:r>
              <w:rPr>
                <w:b/>
                <w:sz w:val="16"/>
              </w:rPr>
              <w:t>End-to-End</w:t>
            </w:r>
          </w:p>
        </w:tc>
      </w:tr>
      <w:tr>
        <w:tc>
          <w:tcPr>
            <w:tcW w:type="dxa" w:w="1153"/>
            <w:tcMar/>
          </w:tcPr>
          <w:p>
            <w:pPr>
              <w:jc w:val="center"/>
            </w:pPr>
            <w:r>
              <w:rPr>
                <w:sz w:val="16"/>
              </w:rPr>
              <w:t>ChemCrow [29]</w:t>
            </w:r>
          </w:p>
        </w:tc>
        <w:tc>
          <w:tcPr>
            <w:tcW w:type="dxa" w:w="1153"/>
            <w:tcMar/>
          </w:tcPr>
          <w:p>
            <w:pPr>
              <w:jc w:val="center"/>
            </w:pPr>
            <w:r>
              <w:rPr>
                <w:sz w:val="16"/>
              </w:rPr>
              <w:t>Chemistry</w:t>
            </w:r>
          </w:p>
        </w:tc>
        <w:tc>
          <w:tcPr>
            <w:tcW w:type="dxa" w:w="1153"/>
            <w:tcMar/>
          </w:tcPr>
          <w:p>
            <w:pPr>
              <w:jc w:val="center"/>
            </w:pPr>
            <w:r>
              <w:rPr>
                <w:sz w:val="16"/>
              </w:rPr>
              <w:t>No</w:t>
            </w:r>
          </w:p>
        </w:tc>
        <w:tc>
          <w:tcPr>
            <w:tcW w:type="dxa" w:w="1153"/>
            <w:tcMar/>
          </w:tcPr>
          <w:p>
            <w:pPr>
              <w:jc w:val="center"/>
            </w:pPr>
            <w:r>
              <w:rPr>
                <w:sz w:val="16"/>
              </w:rPr>
              <w:t>Yes</w:t>
            </w:r>
          </w:p>
        </w:tc>
        <w:tc>
          <w:tcPr>
            <w:tcW w:type="dxa" w:w="1153"/>
            <w:tcMar/>
          </w:tcPr>
          <w:p>
            <w:pPr>
              <w:jc w:val="center"/>
            </w:pPr>
            <w:r>
              <w:rPr>
                <w:sz w:val="16"/>
              </w:rPr>
              <w:t>No</w:t>
            </w:r>
          </w:p>
        </w:tc>
        <w:tc>
          <w:tcPr>
            <w:tcW w:type="dxa" w:w="1153"/>
            <w:tcMar/>
          </w:tcPr>
          <w:p>
            <w:pPr>
              <w:jc w:val="center"/>
            </w:pPr>
            <w:r>
              <w:rPr>
                <w:sz w:val="16"/>
              </w:rPr>
              <w:t>Partial</w:t>
            </w:r>
          </w:p>
        </w:tc>
      </w:tr>
      <w:tr>
        <w:tc>
          <w:tcPr>
            <w:tcW w:type="dxa" w:w="1153"/>
            <w:tcMar/>
          </w:tcPr>
          <w:p>
            <w:pPr>
              <w:jc w:val="center"/>
            </w:pPr>
            <w:r>
              <w:rPr>
                <w:sz w:val="16"/>
              </w:rPr>
              <w:t>Coscientist [30]</w:t>
            </w:r>
          </w:p>
        </w:tc>
        <w:tc>
          <w:tcPr>
            <w:tcW w:type="dxa" w:w="1153"/>
            <w:tcMar/>
          </w:tcPr>
          <w:p>
            <w:pPr>
              <w:jc w:val="center"/>
            </w:pPr>
            <w:r>
              <w:rPr>
                <w:sz w:val="16"/>
              </w:rPr>
              <w:t>Chemistry</w:t>
            </w:r>
          </w:p>
        </w:tc>
        <w:tc>
          <w:tcPr>
            <w:tcW w:type="dxa" w:w="1153"/>
            <w:tcMar/>
          </w:tcPr>
          <w:p>
            <w:pPr>
              <w:jc w:val="center"/>
            </w:pPr>
            <w:r>
              <w:rPr>
                <w:sz w:val="16"/>
              </w:rPr>
              <w:t>No</w:t>
            </w:r>
          </w:p>
        </w:tc>
        <w:tc>
          <w:tcPr>
            <w:tcW w:type="dxa" w:w="1153"/>
            <w:tcMar/>
          </w:tcPr>
          <w:p>
            <w:pPr>
              <w:jc w:val="center"/>
            </w:pPr>
            <w:r>
              <w:rPr>
                <w:sz w:val="16"/>
              </w:rPr>
              <w:t>Yes</w:t>
            </w:r>
          </w:p>
        </w:tc>
        <w:tc>
          <w:tcPr>
            <w:tcW w:type="dxa" w:w="1153"/>
            <w:tcMar/>
          </w:tcPr>
          <w:p>
            <w:pPr>
              <w:jc w:val="center"/>
            </w:pPr>
            <w:r>
              <w:rPr>
                <w:sz w:val="16"/>
              </w:rPr>
              <w:t>No</w:t>
            </w:r>
          </w:p>
        </w:tc>
        <w:tc>
          <w:tcPr>
            <w:tcW w:type="dxa" w:w="1153"/>
            <w:tcMar/>
          </w:tcPr>
          <w:p>
            <w:pPr>
              <w:jc w:val="center"/>
            </w:pPr>
            <w:r>
              <w:rPr>
                <w:sz w:val="16"/>
              </w:rPr>
              <w:t>Yes</w:t>
            </w:r>
          </w:p>
        </w:tc>
      </w:tr>
      <w:tr>
        <w:tc>
          <w:tcPr>
            <w:tcW w:type="dxa" w:w="1153"/>
            <w:tcMar/>
          </w:tcPr>
          <w:p>
            <w:pPr>
              <w:jc w:val="center"/>
            </w:pPr>
            <w:r>
              <w:rPr>
                <w:sz w:val="16"/>
              </w:rPr>
              <w:t>AutoGen [23]</w:t>
            </w:r>
          </w:p>
        </w:tc>
        <w:tc>
          <w:tcPr>
            <w:tcW w:type="dxa" w:w="1153"/>
            <w:tcMar/>
          </w:tcPr>
          <w:p>
            <w:pPr>
              <w:jc w:val="center"/>
            </w:pPr>
            <w:r>
              <w:rPr>
                <w:sz w:val="16"/>
              </w:rPr>
              <w:t>General</w:t>
            </w:r>
          </w:p>
        </w:tc>
        <w:tc>
          <w:tcPr>
            <w:tcW w:type="dxa" w:w="1153"/>
            <w:tcMar/>
          </w:tcPr>
          <w:p>
            <w:pPr>
              <w:jc w:val="center"/>
            </w:pPr>
            <w:r>
              <w:rPr>
                <w:sz w:val="16"/>
              </w:rPr>
              <w:t>Yes</w:t>
            </w:r>
          </w:p>
        </w:tc>
        <w:tc>
          <w:tcPr>
            <w:tcW w:type="dxa" w:w="1153"/>
            <w:tcMar/>
          </w:tcPr>
          <w:p>
            <w:pPr>
              <w:jc w:val="center"/>
            </w:pPr>
            <w:r>
              <w:rPr>
                <w:sz w:val="16"/>
              </w:rPr>
              <w:t>Yes</w:t>
            </w:r>
          </w:p>
        </w:tc>
        <w:tc>
          <w:tcPr>
            <w:tcW w:type="dxa" w:w="1153"/>
            <w:tcMar/>
          </w:tcPr>
          <w:p>
            <w:pPr>
              <w:jc w:val="center"/>
            </w:pPr>
            <w:r>
              <w:rPr>
                <w:sz w:val="16"/>
              </w:rPr>
              <w:t>No</w:t>
            </w:r>
          </w:p>
        </w:tc>
        <w:tc>
          <w:tcPr>
            <w:tcW w:type="dxa" w:w="1153"/>
            <w:tcMar/>
          </w:tcPr>
          <w:p>
            <w:pPr>
              <w:jc w:val="center"/>
            </w:pPr>
            <w:r>
              <w:rPr>
                <w:sz w:val="16"/>
              </w:rPr>
              <w:t>No</w:t>
            </w:r>
          </w:p>
        </w:tc>
      </w:tr>
      <w:tr>
        <w:tc>
          <w:tcPr>
            <w:tcW w:type="dxa" w:w="1153"/>
            <w:tcMar/>
          </w:tcPr>
          <w:p>
            <w:pPr>
              <w:jc w:val="center"/>
            </w:pPr>
            <w:r>
              <w:rPr>
                <w:sz w:val="16"/>
              </w:rPr>
              <w:t>Qiskit Metal [46]</w:t>
            </w:r>
          </w:p>
        </w:tc>
        <w:tc>
          <w:tcPr>
            <w:tcW w:type="dxa" w:w="1153"/>
            <w:tcMar/>
          </w:tcPr>
          <w:p>
            <w:pPr>
              <w:jc w:val="center"/>
            </w:pPr>
            <w:r>
              <w:rPr>
                <w:sz w:val="16"/>
              </w:rPr>
              <w:t>Quantum EDA</w:t>
            </w:r>
          </w:p>
        </w:tc>
        <w:tc>
          <w:tcPr>
            <w:tcW w:type="dxa" w:w="1153"/>
            <w:tcMar/>
          </w:tcPr>
          <w:p>
            <w:pPr>
              <w:jc w:val="center"/>
            </w:pPr>
            <w:r>
              <w:rPr>
                <w:sz w:val="16"/>
              </w:rPr>
              <w:t>No</w:t>
            </w:r>
          </w:p>
        </w:tc>
        <w:tc>
          <w:tcPr>
            <w:tcW w:type="dxa" w:w="1153"/>
            <w:tcMar/>
          </w:tcPr>
          <w:p>
            <w:pPr>
              <w:jc w:val="center"/>
            </w:pPr>
            <w:r>
              <w:rPr>
                <w:sz w:val="16"/>
              </w:rPr>
              <w:t>Yes</w:t>
            </w:r>
          </w:p>
        </w:tc>
        <w:tc>
          <w:tcPr>
            <w:tcW w:type="dxa" w:w="1153"/>
            <w:tcMar/>
          </w:tcPr>
          <w:p>
            <w:pPr>
              <w:jc w:val="center"/>
            </w:pPr>
            <w:r>
              <w:rPr>
                <w:sz w:val="16"/>
              </w:rPr>
              <w:t>Partial</w:t>
            </w:r>
          </w:p>
        </w:tc>
        <w:tc>
          <w:tcPr>
            <w:tcW w:type="dxa" w:w="1153"/>
            <w:tcMar/>
          </w:tcPr>
          <w:p>
            <w:pPr>
              <w:jc w:val="center"/>
            </w:pPr>
            <w:r>
              <w:rPr>
                <w:sz w:val="16"/>
              </w:rPr>
              <w:t>Partial</w:t>
            </w:r>
          </w:p>
        </w:tc>
      </w:tr>
      <w:tr>
        <w:tc>
          <w:tcPr>
            <w:tcW w:type="dxa" w:w="1153"/>
            <w:tcMar/>
          </w:tcPr>
          <w:p>
            <w:pPr>
              <w:jc w:val="center"/>
            </w:pPr>
            <w:r>
              <w:rPr>
                <w:sz w:val="16"/>
              </w:rPr>
              <w:t>RL Calibration [38]</w:t>
            </w:r>
          </w:p>
        </w:tc>
        <w:tc>
          <w:tcPr>
            <w:tcW w:type="dxa" w:w="1153"/>
            <w:tcMar/>
          </w:tcPr>
          <w:p>
            <w:pPr>
              <w:jc w:val="center"/>
            </w:pPr>
            <w:r>
              <w:rPr>
                <w:sz w:val="16"/>
              </w:rPr>
              <w:t>Quantum HW</w:t>
            </w:r>
          </w:p>
        </w:tc>
        <w:tc>
          <w:tcPr>
            <w:tcW w:type="dxa" w:w="1153"/>
            <w:tcMar/>
          </w:tcPr>
          <w:p>
            <w:pPr>
              <w:jc w:val="center"/>
            </w:pPr>
            <w:r>
              <w:rPr>
                <w:sz w:val="16"/>
              </w:rPr>
              <w:t>No</w:t>
            </w:r>
          </w:p>
        </w:tc>
        <w:tc>
          <w:tcPr>
            <w:tcW w:type="dxa" w:w="1153"/>
            <w:tcMar/>
          </w:tcPr>
          <w:p>
            <w:pPr>
              <w:jc w:val="center"/>
            </w:pPr>
            <w:r>
              <w:rPr>
                <w:sz w:val="16"/>
              </w:rPr>
              <w:t>No</w:t>
            </w:r>
          </w:p>
        </w:tc>
        <w:tc>
          <w:tcPr>
            <w:tcW w:type="dxa" w:w="1153"/>
            <w:tcMar/>
          </w:tcPr>
          <w:p>
            <w:pPr>
              <w:jc w:val="center"/>
            </w:pPr>
            <w:r>
              <w:rPr>
                <w:sz w:val="16"/>
              </w:rPr>
              <w:t>No</w:t>
            </w:r>
          </w:p>
        </w:tc>
        <w:tc>
          <w:tcPr>
            <w:tcW w:type="dxa" w:w="1153"/>
            <w:tcMar/>
          </w:tcPr>
          <w:p>
            <w:pPr>
              <w:jc w:val="center"/>
            </w:pPr>
            <w:r>
              <w:rPr>
                <w:sz w:val="16"/>
              </w:rPr>
              <w:t>No</w:t>
            </w:r>
          </w:p>
        </w:tc>
      </w:tr>
      <w:tr>
        <w:tc>
          <w:tcPr>
            <w:tcW w:type="dxa" w:w="1153"/>
            <w:tcMar/>
          </w:tcPr>
          <w:p>
            <w:pPr>
              <w:jc w:val="center"/>
            </w:pPr>
            <w:r>
              <w:rPr>
                <w:sz w:val="16"/>
              </w:rPr>
              <w:t>AetherQ (ours)</w:t>
            </w:r>
          </w:p>
        </w:tc>
        <w:tc>
          <w:tcPr>
            <w:tcW w:type="dxa" w:w="1153"/>
            <w:tcMar/>
          </w:tcPr>
          <w:p>
            <w:pPr>
              <w:jc w:val="center"/>
            </w:pPr>
            <w:r>
              <w:rPr>
                <w:sz w:val="16"/>
              </w:rPr>
              <w:t>Quantum HW</w:t>
            </w:r>
          </w:p>
        </w:tc>
        <w:tc>
          <w:tcPr>
            <w:tcW w:type="dxa" w:w="1153"/>
            <w:tcMar/>
          </w:tcPr>
          <w:p>
            <w:pPr>
              <w:jc w:val="center"/>
            </w:pPr>
            <w:r>
              <w:rPr>
                <w:sz w:val="16"/>
              </w:rPr>
              <w:t>Yes (12)</w:t>
            </w:r>
          </w:p>
        </w:tc>
        <w:tc>
          <w:tcPr>
            <w:tcW w:type="dxa" w:w="1153"/>
            <w:tcMar/>
          </w:tcPr>
          <w:p>
            <w:pPr>
              <w:jc w:val="center"/>
            </w:pPr>
            <w:r>
              <w:rPr>
                <w:sz w:val="16"/>
              </w:rPr>
              <w:t>Yes</w:t>
            </w:r>
          </w:p>
        </w:tc>
        <w:tc>
          <w:tcPr>
            <w:tcW w:type="dxa" w:w="1153"/>
            <w:tcMar/>
          </w:tcPr>
          <w:p>
            <w:pPr>
              <w:jc w:val="center"/>
            </w:pPr>
            <w:r>
              <w:rPr>
                <w:sz w:val="16"/>
              </w:rPr>
              <w:t>Yes (M0-M8)</w:t>
            </w:r>
          </w:p>
        </w:tc>
        <w:tc>
          <w:tcPr>
            <w:tcW w:type="dxa" w:w="1153"/>
            <w:tcMar/>
          </w:tcPr>
          <w:p>
            <w:pPr>
              <w:jc w:val="center"/>
            </w:pPr>
            <w:r>
              <w:rPr>
                <w:sz w:val="16"/>
              </w:rPr>
              <w:t>Yes</w:t>
            </w:r>
          </w:p>
        </w:tc>
      </w:tr>
    </w:tbl>
    <w:p>
      <w:pPr>
        <w:pStyle w:val="heading1"/>
      </w:pPr>
      <w:r>
        <w:t>System Architecture</w:t>
      </w:r>
    </w:p>
    <w:p>
      <w:pPr>
        <w:pStyle w:val="p1a"/>
      </w:pPr>
      <w:r>
        <w:t>AetherQ employs a hierarchical multi-agent architecture organized into three layers: the Planning Layer, the Agent Layer, and the Tool Layer. Figure 1 illustrates the overall system architecture. The Planning Layer contains the Coordinator agent, which receives high-level research goals from the user, decomposes them into structured task graphs, and orchestrates execution across specialized agents. The Agent Layer houses twelve domain-specific agents, each equipped with role-specific system prompts, tool access permissions, and output schemas. The Tool Layer provides a unified interface to computational backends including physics simulation engines, EDA tools, data analysis libraries, and file management utilities.</w:t>
      </w:r>
    </w:p>
    <w:p>
      <w:pPr>
        <w:pStyle w:val="p1a"/>
        <w:jc w:val="center"/>
      </w:pPr>
      <w:r>
        <w:drawing>
          <wp:inline xmlns:a="http://schemas.openxmlformats.org/drawingml/2006/main" xmlns:pic="http://schemas.openxmlformats.org/drawingml/2006/picture">
            <wp:extent cx="4114800" cy="2797629"/>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
                    <a:stretch>
                      <a:fillRect/>
                    </a:stretch>
                  </pic:blipFill>
                  <pic:spPr>
                    <a:xfrm>
                      <a:off x="0" y="0"/>
                      <a:ext cx="4114800" cy="2797629"/>
                    </a:xfrm>
                    <a:prstGeom prst="rect"/>
                  </pic:spPr>
                </pic:pic>
              </a:graphicData>
            </a:graphic>
          </wp:inline>
        </w:drawing>
      </w:r>
    </w:p>
    <w:p>
      <w:pPr>
        <w:pStyle w:val="figurecaption"/>
        <w:jc w:val="center"/>
      </w:pPr>
      <w:r>
        <w:t>Fig. 1. Overall architecture of the AetherQ system showing the three-layer hierarchy: Planning Layer (Coordinator), Agent Layer (12 specialized agents), and Tool Layer (physics engines, EDA tools, data services).</w:t>
      </w:r>
    </w:p>
    <w:p>
      <w:pPr>
        <w:pStyle w:val="heading2"/>
      </w:pPr>
      <w:r>
        <w:t>Agent Roles and Specializations</w:t>
      </w:r>
    </w:p>
    <w:p>
      <w:pPr>
        <w:pStyle w:val="p1a"/>
      </w:pPr>
      <w:r>
        <w:t>The twelve agents in AetherQ are designed to mirror the roles of a real quantum hardware research team. Each agent possesses a carefully crafted system prompt that defines its domain expertise, reasoning strategies, and output format. Figure 2 shows the agent interaction topology. The agents are as follows: (1) Coordinator: task decomposition, agent dispatch, and result aggregation; (2) Theoretical Physicist: Hamiltonian construction, energy level analysis, and coupling calculations; (3) Noise Analyst: noise budget decomposition, decoherence modeling, and sensitivity analysis; (4) Diagnostician: anomaly classification, root cause ranking, and verification experiment design; (5) Experimentalist: experiment planning, protocol design, and adaptive scheduling; (6) Simulation Engineer: electromagnetic simulation orchestration across Q3D, LOM, EPR, and eigenmode solvers; (7) Pulse Engineer: gate pulse design, DRAG optimization, and GRAPE-based optimal control; (8) Chip Designer: frequency planning, layout optimization, and design proposal synthesis; (9) GDS Engineer: physical layout generation and design rule checking; (10) Data Analyst: statistical analysis, visualization, and report generation; (11) Literature Agent: paper retrieval, citation management, and knowledge extraction; (12) Safety Monitor: constraint validation, sanity checking, and error recovery.</w:t>
      </w:r>
    </w:p>
    <w:p>
      <w:pPr>
        <w:pStyle w:val="p1a"/>
        <w:jc w:val="center"/>
      </w:pPr>
      <w:r>
        <w:drawing>
          <wp:inline xmlns:a="http://schemas.openxmlformats.org/drawingml/2006/main" xmlns:pic="http://schemas.openxmlformats.org/drawingml/2006/picture">
            <wp:extent cx="4114800" cy="1683993"/>
            <wp:docPr id="2" name="Picture 2"/>
            <wp:cNvGraphicFramePr>
              <a:graphicFrameLocks noChangeAspect="1"/>
            </wp:cNvGraphicFramePr>
            <a:graphic>
              <a:graphicData uri="http://schemas.openxmlformats.org/drawingml/2006/picture">
                <pic:pic>
                  <pic:nvPicPr>
                    <pic:cNvPr id="0" name="fig2_agents.png"/>
                    <pic:cNvPicPr/>
                  </pic:nvPicPr>
                  <pic:blipFill>
                    <a:blip r:embed="rId19"/>
                    <a:stretch>
                      <a:fillRect/>
                    </a:stretch>
                  </pic:blipFill>
                  <pic:spPr>
                    <a:xfrm>
                      <a:off x="0" y="0"/>
                      <a:ext cx="4114800" cy="1683993"/>
                    </a:xfrm>
                    <a:prstGeom prst="rect"/>
                  </pic:spPr>
                </pic:pic>
              </a:graphicData>
            </a:graphic>
          </wp:inline>
        </w:drawing>
      </w:r>
    </w:p>
    <w:p>
      <w:pPr>
        <w:pStyle w:val="figurecaption"/>
        <w:jc w:val="center"/>
      </w:pPr>
      <w:r>
        <w:t>Fig. 2. Agent interaction topology in AetherQ. Arrows indicate information flow between agents. The Coordinator (center) dispatches tasks to specialized agents, which may invoke sub-tasks on other agents through structured requests.</w:t>
      </w:r>
    </w:p>
    <w:p>
      <w:pPr>
        <w:pStyle w:val="tablecaption"/>
        <w:jc w:val="center"/>
      </w:pPr>
      <w:r>
        <w:t>Table 2. Summary of AetherQ agent roles, primary tools, and output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9"/>
        <w:gridCol w:w="1729"/>
        <w:gridCol w:w="1729"/>
        <w:gridCol w:w="1729"/>
      </w:tblGrid>
      <w:tr>
        <w:tc>
          <w:tcPr>
            <w:tcW w:type="dxa" w:w="1729"/>
            <w:tcMar/>
          </w:tcPr>
          <w:p>
            <w:pPr>
              <w:jc w:val="center"/>
            </w:pPr>
            <w:r>
              <w:rPr>
                <w:b/>
                <w:sz w:val="16"/>
              </w:rPr>
              <w:t>Agent</w:t>
            </w:r>
          </w:p>
        </w:tc>
        <w:tc>
          <w:tcPr>
            <w:tcW w:type="dxa" w:w="1729"/>
            <w:tcMar/>
          </w:tcPr>
          <w:p>
            <w:pPr>
              <w:jc w:val="center"/>
            </w:pPr>
            <w:r>
              <w:rPr>
                <w:b/>
                <w:sz w:val="16"/>
              </w:rPr>
              <w:t>Primary Role</w:t>
            </w:r>
          </w:p>
        </w:tc>
        <w:tc>
          <w:tcPr>
            <w:tcW w:type="dxa" w:w="1729"/>
            <w:tcMar/>
          </w:tcPr>
          <w:p>
            <w:pPr>
              <w:jc w:val="center"/>
            </w:pPr>
            <w:r>
              <w:rPr>
                <w:b/>
                <w:sz w:val="16"/>
              </w:rPr>
              <w:t>Key Tools</w:t>
            </w:r>
          </w:p>
        </w:tc>
        <w:tc>
          <w:tcPr>
            <w:tcW w:type="dxa" w:w="1729"/>
            <w:tcMar/>
          </w:tcPr>
          <w:p>
            <w:pPr>
              <w:jc w:val="center"/>
            </w:pPr>
            <w:r>
              <w:rPr>
                <w:b/>
                <w:sz w:val="16"/>
              </w:rPr>
              <w:t>Output Type</w:t>
            </w:r>
          </w:p>
        </w:tc>
      </w:tr>
      <w:tr>
        <w:tc>
          <w:tcPr>
            <w:tcW w:type="dxa" w:w="1729"/>
            <w:tcMar/>
          </w:tcPr>
          <w:p>
            <w:pPr>
              <w:jc w:val="center"/>
            </w:pPr>
            <w:r>
              <w:rPr>
                <w:sz w:val="16"/>
              </w:rPr>
              <w:t>Coordinator</w:t>
            </w:r>
          </w:p>
        </w:tc>
        <w:tc>
          <w:tcPr>
            <w:tcW w:type="dxa" w:w="1729"/>
            <w:tcMar/>
          </w:tcPr>
          <w:p>
            <w:pPr>
              <w:jc w:val="center"/>
            </w:pPr>
            <w:r>
              <w:rPr>
                <w:sz w:val="16"/>
              </w:rPr>
              <w:t>Task decomposition</w:t>
            </w:r>
          </w:p>
        </w:tc>
        <w:tc>
          <w:tcPr>
            <w:tcW w:type="dxa" w:w="1729"/>
            <w:tcMar/>
          </w:tcPr>
          <w:p>
            <w:pPr>
              <w:jc w:val="center"/>
            </w:pPr>
            <w:r>
              <w:rPr>
                <w:sz w:val="16"/>
              </w:rPr>
              <w:t>Planner, Dispatcher</w:t>
            </w:r>
          </w:p>
        </w:tc>
        <w:tc>
          <w:tcPr>
            <w:tcW w:type="dxa" w:w="1729"/>
            <w:tcMar/>
          </w:tcPr>
          <w:p>
            <w:pPr>
              <w:jc w:val="center"/>
            </w:pPr>
            <w:r>
              <w:rPr>
                <w:sz w:val="16"/>
              </w:rPr>
              <w:t>Task graph</w:t>
            </w:r>
          </w:p>
        </w:tc>
      </w:tr>
      <w:tr>
        <w:tc>
          <w:tcPr>
            <w:tcW w:type="dxa" w:w="1729"/>
            <w:tcMar/>
          </w:tcPr>
          <w:p>
            <w:pPr>
              <w:jc w:val="center"/>
            </w:pPr>
            <w:r>
              <w:rPr>
                <w:sz w:val="16"/>
              </w:rPr>
              <w:t>Theoretical Physicist</w:t>
            </w:r>
          </w:p>
        </w:tc>
        <w:tc>
          <w:tcPr>
            <w:tcW w:type="dxa" w:w="1729"/>
            <w:tcMar/>
          </w:tcPr>
          <w:p>
            <w:pPr>
              <w:jc w:val="center"/>
            </w:pPr>
            <w:r>
              <w:rPr>
                <w:sz w:val="16"/>
              </w:rPr>
              <w:t>Hamiltonian modeling</w:t>
            </w:r>
          </w:p>
        </w:tc>
        <w:tc>
          <w:tcPr>
            <w:tcW w:type="dxa" w:w="1729"/>
            <w:tcMar/>
          </w:tcPr>
          <w:p>
            <w:pPr>
              <w:jc w:val="center"/>
            </w:pPr>
            <w:r>
              <w:rPr>
                <w:sz w:val="16"/>
              </w:rPr>
              <w:t>M0-M2 modules</w:t>
            </w:r>
          </w:p>
        </w:tc>
        <w:tc>
          <w:tcPr>
            <w:tcW w:type="dxa" w:w="1729"/>
            <w:tcMar/>
          </w:tcPr>
          <w:p>
            <w:pPr>
              <w:jc w:val="center"/>
            </w:pPr>
            <w:r>
              <w:rPr>
                <w:sz w:val="16"/>
              </w:rPr>
              <w:t>Parameter JSON</w:t>
            </w:r>
          </w:p>
        </w:tc>
      </w:tr>
      <w:tr>
        <w:tc>
          <w:tcPr>
            <w:tcW w:type="dxa" w:w="1729"/>
            <w:tcMar/>
          </w:tcPr>
          <w:p>
            <w:pPr>
              <w:jc w:val="center"/>
            </w:pPr>
            <w:r>
              <w:rPr>
                <w:sz w:val="16"/>
              </w:rPr>
              <w:t>Noise Analyst</w:t>
            </w:r>
          </w:p>
        </w:tc>
        <w:tc>
          <w:tcPr>
            <w:tcW w:type="dxa" w:w="1729"/>
            <w:tcMar/>
          </w:tcPr>
          <w:p>
            <w:pPr>
              <w:jc w:val="center"/>
            </w:pPr>
            <w:r>
              <w:rPr>
                <w:sz w:val="16"/>
              </w:rPr>
              <w:t>Decoherence analysis</w:t>
            </w:r>
          </w:p>
        </w:tc>
        <w:tc>
          <w:tcPr>
            <w:tcW w:type="dxa" w:w="1729"/>
            <w:tcMar/>
          </w:tcPr>
          <w:p>
            <w:pPr>
              <w:jc w:val="center"/>
            </w:pPr>
            <w:r>
              <w:rPr>
                <w:sz w:val="16"/>
              </w:rPr>
              <w:t>M3 module</w:t>
            </w:r>
          </w:p>
        </w:tc>
        <w:tc>
          <w:tcPr>
            <w:tcW w:type="dxa" w:w="1729"/>
            <w:tcMar/>
          </w:tcPr>
          <w:p>
            <w:pPr>
              <w:jc w:val="center"/>
            </w:pPr>
            <w:r>
              <w:rPr>
                <w:sz w:val="16"/>
              </w:rPr>
              <w:t>Noise budget</w:t>
            </w:r>
          </w:p>
        </w:tc>
      </w:tr>
      <w:tr>
        <w:tc>
          <w:tcPr>
            <w:tcW w:type="dxa" w:w="1729"/>
            <w:tcMar/>
          </w:tcPr>
          <w:p>
            <w:pPr>
              <w:jc w:val="center"/>
            </w:pPr>
            <w:r>
              <w:rPr>
                <w:sz w:val="16"/>
              </w:rPr>
              <w:t>Diagnostician</w:t>
            </w:r>
          </w:p>
        </w:tc>
        <w:tc>
          <w:tcPr>
            <w:tcW w:type="dxa" w:w="1729"/>
            <w:tcMar/>
          </w:tcPr>
          <w:p>
            <w:pPr>
              <w:jc w:val="center"/>
            </w:pPr>
            <w:r>
              <w:rPr>
                <w:sz w:val="16"/>
              </w:rPr>
              <w:t>Anomaly diagnosis</w:t>
            </w:r>
          </w:p>
        </w:tc>
        <w:tc>
          <w:tcPr>
            <w:tcW w:type="dxa" w:w="1729"/>
            <w:tcMar/>
          </w:tcPr>
          <w:p>
            <w:pPr>
              <w:jc w:val="center"/>
            </w:pPr>
            <w:r>
              <w:rPr>
                <w:sz w:val="16"/>
              </w:rPr>
              <w:t>M4 module</w:t>
            </w:r>
          </w:p>
        </w:tc>
        <w:tc>
          <w:tcPr>
            <w:tcW w:type="dxa" w:w="1729"/>
            <w:tcMar/>
          </w:tcPr>
          <w:p>
            <w:pPr>
              <w:jc w:val="center"/>
            </w:pPr>
            <w:r>
              <w:rPr>
                <w:sz w:val="16"/>
              </w:rPr>
              <w:t>Ranked causes</w:t>
            </w:r>
          </w:p>
        </w:tc>
      </w:tr>
      <w:tr>
        <w:tc>
          <w:tcPr>
            <w:tcW w:type="dxa" w:w="1729"/>
            <w:tcMar/>
          </w:tcPr>
          <w:p>
            <w:pPr>
              <w:jc w:val="center"/>
            </w:pPr>
            <w:r>
              <w:rPr>
                <w:sz w:val="16"/>
              </w:rPr>
              <w:t>Experimentalist</w:t>
            </w:r>
          </w:p>
        </w:tc>
        <w:tc>
          <w:tcPr>
            <w:tcW w:type="dxa" w:w="1729"/>
            <w:tcMar/>
          </w:tcPr>
          <w:p>
            <w:pPr>
              <w:jc w:val="center"/>
            </w:pPr>
            <w:r>
              <w:rPr>
                <w:sz w:val="16"/>
              </w:rPr>
              <w:t>Experiment planning</w:t>
            </w:r>
          </w:p>
        </w:tc>
        <w:tc>
          <w:tcPr>
            <w:tcW w:type="dxa" w:w="1729"/>
            <w:tcMar/>
          </w:tcPr>
          <w:p>
            <w:pPr>
              <w:jc w:val="center"/>
            </w:pPr>
            <w:r>
              <w:rPr>
                <w:sz w:val="16"/>
              </w:rPr>
              <w:t>M5 module</w:t>
            </w:r>
          </w:p>
        </w:tc>
        <w:tc>
          <w:tcPr>
            <w:tcW w:type="dxa" w:w="1729"/>
            <w:tcMar/>
          </w:tcPr>
          <w:p>
            <w:pPr>
              <w:jc w:val="center"/>
            </w:pPr>
            <w:r>
              <w:rPr>
                <w:sz w:val="16"/>
              </w:rPr>
              <w:t>Experiment plan</w:t>
            </w:r>
          </w:p>
        </w:tc>
      </w:tr>
      <w:tr>
        <w:tc>
          <w:tcPr>
            <w:tcW w:type="dxa" w:w="1729"/>
            <w:tcMar/>
          </w:tcPr>
          <w:p>
            <w:pPr>
              <w:jc w:val="center"/>
            </w:pPr>
            <w:r>
              <w:rPr>
                <w:sz w:val="16"/>
              </w:rPr>
              <w:t>Simulation Engineer</w:t>
            </w:r>
          </w:p>
        </w:tc>
        <w:tc>
          <w:tcPr>
            <w:tcW w:type="dxa" w:w="1729"/>
            <w:tcMar/>
          </w:tcPr>
          <w:p>
            <w:pPr>
              <w:jc w:val="center"/>
            </w:pPr>
            <w:r>
              <w:rPr>
                <w:sz w:val="16"/>
              </w:rPr>
              <w:t>EM simulation</w:t>
            </w:r>
          </w:p>
        </w:tc>
        <w:tc>
          <w:tcPr>
            <w:tcW w:type="dxa" w:w="1729"/>
            <w:tcMar/>
          </w:tcPr>
          <w:p>
            <w:pPr>
              <w:jc w:val="center"/>
            </w:pPr>
            <w:r>
              <w:rPr>
                <w:sz w:val="16"/>
              </w:rPr>
              <w:t>M6 module, Ansys</w:t>
            </w:r>
          </w:p>
        </w:tc>
        <w:tc>
          <w:tcPr>
            <w:tcW w:type="dxa" w:w="1729"/>
            <w:tcMar/>
          </w:tcPr>
          <w:p>
            <w:pPr>
              <w:jc w:val="center"/>
            </w:pPr>
            <w:r>
              <w:rPr>
                <w:sz w:val="16"/>
              </w:rPr>
              <w:t>Sim results</w:t>
            </w:r>
          </w:p>
        </w:tc>
      </w:tr>
      <w:tr>
        <w:tc>
          <w:tcPr>
            <w:tcW w:type="dxa" w:w="1729"/>
            <w:tcMar/>
          </w:tcPr>
          <w:p>
            <w:pPr>
              <w:jc w:val="center"/>
            </w:pPr>
            <w:r>
              <w:rPr>
                <w:sz w:val="16"/>
              </w:rPr>
              <w:t>Pulse Engineer</w:t>
            </w:r>
          </w:p>
        </w:tc>
        <w:tc>
          <w:tcPr>
            <w:tcW w:type="dxa" w:w="1729"/>
            <w:tcMar/>
          </w:tcPr>
          <w:p>
            <w:pPr>
              <w:jc w:val="center"/>
            </w:pPr>
            <w:r>
              <w:rPr>
                <w:sz w:val="16"/>
              </w:rPr>
              <w:t>Gate optimization</w:t>
            </w:r>
          </w:p>
        </w:tc>
        <w:tc>
          <w:tcPr>
            <w:tcW w:type="dxa" w:w="1729"/>
            <w:tcMar/>
          </w:tcPr>
          <w:p>
            <w:pPr>
              <w:jc w:val="center"/>
            </w:pPr>
            <w:r>
              <w:rPr>
                <w:sz w:val="16"/>
              </w:rPr>
              <w:t>M7 module</w:t>
            </w:r>
          </w:p>
        </w:tc>
        <w:tc>
          <w:tcPr>
            <w:tcW w:type="dxa" w:w="1729"/>
            <w:tcMar/>
          </w:tcPr>
          <w:p>
            <w:pPr>
              <w:jc w:val="center"/>
            </w:pPr>
            <w:r>
              <w:rPr>
                <w:sz w:val="16"/>
              </w:rPr>
              <w:t>Pulse params</w:t>
            </w:r>
          </w:p>
        </w:tc>
      </w:tr>
      <w:tr>
        <w:tc>
          <w:tcPr>
            <w:tcW w:type="dxa" w:w="1729"/>
            <w:tcMar/>
          </w:tcPr>
          <w:p>
            <w:pPr>
              <w:jc w:val="center"/>
            </w:pPr>
            <w:r>
              <w:rPr>
                <w:sz w:val="16"/>
              </w:rPr>
              <w:t>Chip Designer</w:t>
            </w:r>
          </w:p>
        </w:tc>
        <w:tc>
          <w:tcPr>
            <w:tcW w:type="dxa" w:w="1729"/>
            <w:tcMar/>
          </w:tcPr>
          <w:p>
            <w:pPr>
              <w:jc w:val="center"/>
            </w:pPr>
            <w:r>
              <w:rPr>
                <w:sz w:val="16"/>
              </w:rPr>
              <w:t>Design synthesis</w:t>
            </w:r>
          </w:p>
        </w:tc>
        <w:tc>
          <w:tcPr>
            <w:tcW w:type="dxa" w:w="1729"/>
            <w:tcMar/>
          </w:tcPr>
          <w:p>
            <w:pPr>
              <w:jc w:val="center"/>
            </w:pPr>
            <w:r>
              <w:rPr>
                <w:sz w:val="16"/>
              </w:rPr>
              <w:t>M8 module</w:t>
            </w:r>
          </w:p>
        </w:tc>
        <w:tc>
          <w:tcPr>
            <w:tcW w:type="dxa" w:w="1729"/>
            <w:tcMar/>
          </w:tcPr>
          <w:p>
            <w:pPr>
              <w:jc w:val="center"/>
            </w:pPr>
            <w:r>
              <w:rPr>
                <w:sz w:val="16"/>
              </w:rPr>
              <w:t>Design proposal</w:t>
            </w:r>
          </w:p>
        </w:tc>
      </w:tr>
      <w:tr>
        <w:tc>
          <w:tcPr>
            <w:tcW w:type="dxa" w:w="1729"/>
            <w:tcMar/>
          </w:tcPr>
          <w:p>
            <w:pPr>
              <w:jc w:val="center"/>
            </w:pPr>
            <w:r>
              <w:rPr>
                <w:sz w:val="16"/>
              </w:rPr>
              <w:t>GDS Engineer</w:t>
            </w:r>
          </w:p>
        </w:tc>
        <w:tc>
          <w:tcPr>
            <w:tcW w:type="dxa" w:w="1729"/>
            <w:tcMar/>
          </w:tcPr>
          <w:p>
            <w:pPr>
              <w:jc w:val="center"/>
            </w:pPr>
            <w:r>
              <w:rPr>
                <w:sz w:val="16"/>
              </w:rPr>
              <w:t>Layout generation</w:t>
            </w:r>
          </w:p>
        </w:tc>
        <w:tc>
          <w:tcPr>
            <w:tcW w:type="dxa" w:w="1729"/>
            <w:tcMar/>
          </w:tcPr>
          <w:p>
            <w:pPr>
              <w:jc w:val="center"/>
            </w:pPr>
            <w:r>
              <w:rPr>
                <w:sz w:val="16"/>
              </w:rPr>
              <w:t>gdspy, KLayout</w:t>
            </w:r>
          </w:p>
        </w:tc>
        <w:tc>
          <w:tcPr>
            <w:tcW w:type="dxa" w:w="1729"/>
            <w:tcMar/>
          </w:tcPr>
          <w:p>
            <w:pPr>
              <w:jc w:val="center"/>
            </w:pPr>
            <w:r>
              <w:rPr>
                <w:sz w:val="16"/>
              </w:rPr>
              <w:t>GDS-II file</w:t>
            </w:r>
          </w:p>
        </w:tc>
      </w:tr>
      <w:tr>
        <w:tc>
          <w:tcPr>
            <w:tcW w:type="dxa" w:w="1729"/>
            <w:tcMar/>
          </w:tcPr>
          <w:p>
            <w:pPr>
              <w:jc w:val="center"/>
            </w:pPr>
            <w:r>
              <w:rPr>
                <w:sz w:val="16"/>
              </w:rPr>
              <w:t>Data Analyst</w:t>
            </w:r>
          </w:p>
        </w:tc>
        <w:tc>
          <w:tcPr>
            <w:tcW w:type="dxa" w:w="1729"/>
            <w:tcMar/>
          </w:tcPr>
          <w:p>
            <w:pPr>
              <w:jc w:val="center"/>
            </w:pPr>
            <w:r>
              <w:rPr>
                <w:sz w:val="16"/>
              </w:rPr>
              <w:t>Data processing</w:t>
            </w:r>
          </w:p>
        </w:tc>
        <w:tc>
          <w:tcPr>
            <w:tcW w:type="dxa" w:w="1729"/>
            <w:tcMar/>
          </w:tcPr>
          <w:p>
            <w:pPr>
              <w:jc w:val="center"/>
            </w:pPr>
            <w:r>
              <w:rPr>
                <w:sz w:val="16"/>
              </w:rPr>
              <w:t>NumPy, SciPy</w:t>
            </w:r>
          </w:p>
        </w:tc>
        <w:tc>
          <w:tcPr>
            <w:tcW w:type="dxa" w:w="1729"/>
            <w:tcMar/>
          </w:tcPr>
          <w:p>
            <w:pPr>
              <w:jc w:val="center"/>
            </w:pPr>
            <w:r>
              <w:rPr>
                <w:sz w:val="16"/>
              </w:rPr>
              <w:t>Analysis report</w:t>
            </w:r>
          </w:p>
        </w:tc>
      </w:tr>
      <w:tr>
        <w:tc>
          <w:tcPr>
            <w:tcW w:type="dxa" w:w="1729"/>
            <w:tcMar/>
          </w:tcPr>
          <w:p>
            <w:pPr>
              <w:jc w:val="center"/>
            </w:pPr>
            <w:r>
              <w:rPr>
                <w:sz w:val="16"/>
              </w:rPr>
              <w:t>Literature Agent</w:t>
            </w:r>
          </w:p>
        </w:tc>
        <w:tc>
          <w:tcPr>
            <w:tcW w:type="dxa" w:w="1729"/>
            <w:tcMar/>
          </w:tcPr>
          <w:p>
            <w:pPr>
              <w:jc w:val="center"/>
            </w:pPr>
            <w:r>
              <w:rPr>
                <w:sz w:val="16"/>
              </w:rPr>
              <w:t>Knowledge retrieval</w:t>
            </w:r>
          </w:p>
        </w:tc>
        <w:tc>
          <w:tcPr>
            <w:tcW w:type="dxa" w:w="1729"/>
            <w:tcMar/>
          </w:tcPr>
          <w:p>
            <w:pPr>
              <w:jc w:val="center"/>
            </w:pPr>
            <w:r>
              <w:rPr>
                <w:sz w:val="16"/>
              </w:rPr>
              <w:t>Semantic Scholar</w:t>
            </w:r>
          </w:p>
        </w:tc>
        <w:tc>
          <w:tcPr>
            <w:tcW w:type="dxa" w:w="1729"/>
            <w:tcMar/>
          </w:tcPr>
          <w:p>
            <w:pPr>
              <w:jc w:val="center"/>
            </w:pPr>
            <w:r>
              <w:rPr>
                <w:sz w:val="16"/>
              </w:rPr>
              <w:t>Citations</w:t>
            </w:r>
          </w:p>
        </w:tc>
      </w:tr>
      <w:tr>
        <w:tc>
          <w:tcPr>
            <w:tcW w:type="dxa" w:w="1729"/>
            <w:tcMar/>
          </w:tcPr>
          <w:p>
            <w:pPr>
              <w:jc w:val="center"/>
            </w:pPr>
            <w:r>
              <w:rPr>
                <w:sz w:val="16"/>
              </w:rPr>
              <w:t>Safety Monitor</w:t>
            </w:r>
          </w:p>
        </w:tc>
        <w:tc>
          <w:tcPr>
            <w:tcW w:type="dxa" w:w="1729"/>
            <w:tcMar/>
          </w:tcPr>
          <w:p>
            <w:pPr>
              <w:jc w:val="center"/>
            </w:pPr>
            <w:r>
              <w:rPr>
                <w:sz w:val="16"/>
              </w:rPr>
              <w:t>Constraint checking</w:t>
            </w:r>
          </w:p>
        </w:tc>
        <w:tc>
          <w:tcPr>
            <w:tcW w:type="dxa" w:w="1729"/>
            <w:tcMar/>
          </w:tcPr>
          <w:p>
            <w:pPr>
              <w:jc w:val="center"/>
            </w:pPr>
            <w:r>
              <w:rPr>
                <w:sz w:val="16"/>
              </w:rPr>
              <w:t>Validators</w:t>
            </w:r>
          </w:p>
        </w:tc>
        <w:tc>
          <w:tcPr>
            <w:tcW w:type="dxa" w:w="1729"/>
            <w:tcMar/>
          </w:tcPr>
          <w:p>
            <w:pPr>
              <w:jc w:val="center"/>
            </w:pPr>
            <w:r>
              <w:rPr>
                <w:sz w:val="16"/>
              </w:rPr>
              <w:t>Pass/fail</w:t>
            </w:r>
          </w:p>
        </w:tc>
      </w:tr>
    </w:tbl>
    <w:p>
      <w:pPr>
        <w:pStyle w:val="heading2"/>
      </w:pPr>
      <w:r>
        <w:t>Tool-Call Protocol and Graceful Degradation</w:t>
      </w:r>
    </w:p>
    <w:p>
      <w:pPr>
        <w:pStyle w:val="p1a"/>
      </w:pPr>
      <w:r>
        <w:t>Communication between agents and tools follows a structured tool-call protocol inspired by the function-calling capabilities of modern LLMs [17]. Each tool call consists of a function name, typed input parameters, and a structured JSON output. Figure 3 illustrates the tool-call loop. When an agent needs to perform a computation, it issues a tool call with specified parameters. The Tool Layer validates the inputs, executes the computation, and returns structured results. The agent then interprets the results and decides whether to issue additional tool calls, request help from another agent, or return its final output to the Coordinator.</w:t>
      </w:r>
    </w:p>
    <w:p>
      <w:pPr>
        <w:pStyle w:val="p1a"/>
        <w:jc w:val="center"/>
      </w:pPr>
      <w:r>
        <w:drawing>
          <wp:inline xmlns:a="http://schemas.openxmlformats.org/drawingml/2006/main" xmlns:pic="http://schemas.openxmlformats.org/drawingml/2006/picture">
            <wp:extent cx="4114800" cy="2280338"/>
            <wp:docPr id="3" name="Picture 3"/>
            <wp:cNvGraphicFramePr>
              <a:graphicFrameLocks noChangeAspect="1"/>
            </wp:cNvGraphicFramePr>
            <a:graphic>
              <a:graphicData uri="http://schemas.openxmlformats.org/drawingml/2006/picture">
                <pic:pic>
                  <pic:nvPicPr>
                    <pic:cNvPr id="0" name="fig3_toolcall.png"/>
                    <pic:cNvPicPr/>
                  </pic:nvPicPr>
                  <pic:blipFill>
                    <a:blip r:embed="rId20"/>
                    <a:stretch>
                      <a:fillRect/>
                    </a:stretch>
                  </pic:blipFill>
                  <pic:spPr>
                    <a:xfrm>
                      <a:off x="0" y="0"/>
                      <a:ext cx="4114800" cy="2280338"/>
                    </a:xfrm>
                    <a:prstGeom prst="rect"/>
                  </pic:spPr>
                </pic:pic>
              </a:graphicData>
            </a:graphic>
          </wp:inline>
        </w:drawing>
      </w:r>
    </w:p>
    <w:p>
      <w:pPr>
        <w:pStyle w:val="figurecaption"/>
        <w:jc w:val="center"/>
      </w:pPr>
      <w:r>
        <w:t>Fig. 3. The tool-call protocol loop in AetherQ. Each agent iteratively issues tool calls, receives structured results, and refines its reasoning until a termination condition is met or the maximum iteration count is reached.</w:t>
      </w:r>
    </w:p>
    <w:p>
      <w:pPr>
        <w:pStyle w:val="p1a"/>
      </w:pPr>
      <w:r>
        <w:t>A critical design feature of AetherQ is its graceful degradation mechanism. In real-world quantum chip research, tools may fail due to license issues, numerical convergence problems, or hardware limitations. When a tool call fails, the system implements a three-tier fallback strategy: (1) Retry with modified parameters, such as relaxed convergence criteria or reduced mesh density; (2) Substitute with an alternative tool that provides approximate results, for example replacing a full HFSS simulation with an analytical estimate; (3) Flag the failure, record the partial results, and continue with the remaining tasks while noting the degraded confidence in the affected outputs. This approach ensures that a single tool failure does not halt the entire research pipeline, a common frustration in manual workflows where a failed simulation can block progress for days.</w:t>
      </w:r>
    </w:p>
    <w:p>
      <w:pPr>
        <w:pStyle w:val="p1a"/>
      </w:pPr>
      <w:r>
        <w:t>The inter-agent communication protocol supports both synchronous and asynchronous message passing. Synchronous calls are used when an agent requires the output of another agent before proceeding, such as when the Pulse Engineer needs the Hamiltonian parameters from the Theoretical Physicist. Asynchronous calls are used for independent tasks that can execute in parallel, such as running electromagnetic simulations for different qubits simultaneously. The Coordinator maintains a task dependency graph and schedules agent invocations to maximize parallelism while respecting data dependencies. Each agent maintains a local context window that includes the task description, relevant prior results, and any domain-specific constraints. This context is constructed by the Coordinator based on the task graph and is designed to provide each agent with the minimum information needed to perform its task effectively.</w:t>
      </w:r>
    </w:p>
    <w:p>
      <w:pPr>
        <w:pStyle w:val="heading2"/>
      </w:pPr>
      <w:r>
        <w:t>Autonomous Heartbeat Engine</w:t>
      </w:r>
    </w:p>
    <w:p>
      <w:pPr>
        <w:pStyle w:val="p1a"/>
      </w:pPr>
      <w:r>
        <w:t>A distinctive feature of AetherQ is its autonomous heartbeat engine, which operates continuously in the background without requiring explicit user commands. The engine implements four escalating intelligence tiers, each with a different monitoring cadence and analytical depth. Tier L0 (5-minute cadence) performs real-time equipment status checks, monitoring device alarms, ETL pipeline health, and communication link integrity. Tier L1 (6-hour cadence) conducts data quality audits, including calibration table freshness checks, yield trend analysis against configurable thresholds, and statistical process control (SPC) violation detection. Tier L2 (12-hour cadence) generates experiment suggestions by analyzing qubit characterization data for anomalies such as T1 values falling below expected thresholds, frequency drift patterns, or readout fidelity degradation. Tier L3 (24-hour cadence) performs cross-domain correlation mining, seeking non-obvious relationships between design parameters, fabrication metrics, and measurement outcomes.</w:t>
      </w:r>
    </w:p>
    <w:p>
      <w:pPr/>
      <w:r>
        <w:t>The heartbeat engine proved particularly valuable during our experimental evaluation. In a 24-hour monitoring period, it autonomously detected an equipment alarm, flagged a yield decline below the 90% threshold, identified a qubit with degraded T1, and discovered a correlation between calibration fidelity and fabrication yield that would typically require a data analyst to manually join datasets from the manufacturing execution system and the measurement database. This capability transforms the system from a passive tool that responds to queries into an active research partner that proactively surfaces insights. The design follows the principle that the most valuable discoveries in experimental science often come not from answering specific questions but from noticing unexpected patterns in routine data that humans might overlook due to cognitive load or data siloing.</w:t>
      </w:r>
    </w:p>
    <w:p>
      <w:pPr>
        <w:pStyle w:val="heading1"/>
      </w:pPr>
      <w:r>
        <w:t>Theoretical Physicist Agent and Physics Modules</w:t>
      </w:r>
    </w:p>
    <w:p>
      <w:pPr>
        <w:pStyle w:val="p1a"/>
      </w:pPr>
      <w:r>
        <w:t>The Theoretical Physicist agent is the core knowledge engine of AetherQ, responsible for constructing and analyzing the quantum Hamiltonian of the superconducting chip. It operates through nine physics modules (M0 through M8), each implementing a specific computational workflow. Figure 4 shows the module architecture and data flow.</w:t>
      </w:r>
    </w:p>
    <w:p>
      <w:pPr>
        <w:pStyle w:val="p1a"/>
        <w:jc w:val="center"/>
      </w:pPr>
      <w:r>
        <w:drawing>
          <wp:inline xmlns:a="http://schemas.openxmlformats.org/drawingml/2006/main" xmlns:pic="http://schemas.openxmlformats.org/drawingml/2006/picture">
            <wp:extent cx="4114800" cy="2247764"/>
            <wp:docPr id="4" name="Picture 4"/>
            <wp:cNvGraphicFramePr>
              <a:graphicFrameLocks noChangeAspect="1"/>
            </wp:cNvGraphicFramePr>
            <a:graphic>
              <a:graphicData uri="http://schemas.openxmlformats.org/drawingml/2006/picture">
                <pic:pic>
                  <pic:nvPicPr>
                    <pic:cNvPr id="0" name="fig4_modules.png"/>
                    <pic:cNvPicPr/>
                  </pic:nvPicPr>
                  <pic:blipFill>
                    <a:blip r:embed="rId21"/>
                    <a:stretch>
                      <a:fillRect/>
                    </a:stretch>
                  </pic:blipFill>
                  <pic:spPr>
                    <a:xfrm>
                      <a:off x="0" y="0"/>
                      <a:ext cx="4114800" cy="2247764"/>
                    </a:xfrm>
                    <a:prstGeom prst="rect"/>
                  </pic:spPr>
                </pic:pic>
              </a:graphicData>
            </a:graphic>
          </wp:inline>
        </w:drawing>
      </w:r>
    </w:p>
    <w:p>
      <w:pPr>
        <w:pStyle w:val="figurecaption"/>
        <w:jc w:val="center"/>
      </w:pPr>
      <w:r>
        <w:t>Fig. 4. The nine physics modules (M0-M8) of the Theoretical Physicist agent. Data flows from chip specification (top) through Hamiltonian construction, noise analysis, diagnosis, experiment planning, simulation, optimization, and design proposal generation (bottom).</w:t>
      </w:r>
    </w:p>
    <w:p>
      <w:pPr>
        <w:pStyle w:val="heading2"/>
      </w:pPr>
      <w:r>
        <w:t>M0: Qubit Parameter Extraction</w:t>
      </w:r>
    </w:p>
    <w:p>
      <w:pPr>
        <w:pStyle w:val="p1a"/>
      </w:pPr>
      <w:r>
        <w:t>Module M0 computes the fundamental parameters of each transmon qubit from the chip specification. For a transmon qubit with Josephson energy EJ and charging energy EC, the transition frequency is given by:</w:t>
      </w:r>
    </w:p>
    <w:p>
      <w:pPr>
        <w:pStyle w:val="equation"/>
      </w:pPr>
      <w:r>
        <w:t>f_01 = (1/h) * (sqrt(8 * EJ * EC) - EC)</w:t>
      </w:r>
    </w:p>
    <w:p>
      <w:pPr>
        <w:pStyle w:val="p1a"/>
      </w:pPr>
      <w:r>
        <w:t>where h is Planck's constant. The anharmonicity, which quantifies the deviation from a harmonic oscillator and is critical for addressability of the computational states, is approximated as alpha = -EC in the transmon regime (EJ/EC &gt;&gt; 1). For the 20-qubit chip under study, M0 extracts EJ values ranging from 13.778 GHz to 14.833 GHz with a uniform EC of 0.26 GHz, yielding EJ/EC ratios of approximately 54.7, well within the transmon regime where charge noise is exponentially suppressed [3]. The module also validates that the two-level approximation remains valid by checking that the anharmonicity magnitude (260 MHz) significantly exceeds the Rabi drive strength (typically 10-50 MHz), ensuring negligible leakage to non-computational states during gate operations [49].</w:t>
      </w:r>
    </w:p>
    <w:p>
      <w:pPr>
        <w:pStyle w:val="heading2"/>
      </w:pPr>
      <w:r>
        <w:t>M1: Coupling Analysis</w:t>
      </w:r>
    </w:p>
    <w:p>
      <w:pPr>
        <w:pStyle w:val="p1a"/>
      </w:pPr>
      <w:r>
        <w:t>Module M1 analyzes the coupling network between qubits. For capacitively coupled transmons with a tunable coupler, the effective coupling strength is:</w:t>
      </w:r>
    </w:p>
    <w:p>
      <w:pPr>
        <w:pStyle w:val="equation"/>
      </w:pPr>
      <w:r>
        <w:t>g_eff = g_direct + g1c * g2c / Delta_c</w:t>
      </w:r>
    </w:p>
    <w:p>
      <w:pPr>
        <w:pStyle w:val="p1a"/>
      </w:pPr>
      <w:r>
        <w:t>where g_direct is the direct qubit-qubit coupling, g1c and g2c are the qubit-coupler couplings, and Delta_c is the detuning between the coupler and the qubit frequencies. The residual ZZ interaction, which is a major source of two-qubit gate error, is computed as:</w:t>
      </w:r>
    </w:p>
    <w:p>
      <w:pPr>
        <w:pStyle w:val="equation"/>
      </w:pPr>
      <w:r>
        <w:t>ZZ = 2 * g_eff^2 * alpha / (Delta * (Delta + alpha))</w:t>
      </w:r>
    </w:p>
    <w:p>
      <w:pPr>
        <w:pStyle w:val="p1a"/>
      </w:pPr>
      <w:r>
        <w:t>where Delta is the qubit-qubit detuning. M1 computes these parameters for all 19 coupler connections in the 20-qubit chip, with coupling strengths ranging from 7.59 MHz to 15.59 MHz and ZZ interactions from -18.0 kHz to -84.1 kHz. The module also performs frequency collision detection, identifying six HIGH severity collisions where neighboring qubit frequency detunings fall below 50 MHz, most critically Q16-Q17 with only 1.1 MHz detuning. These collisions are flagged for the Chip Designer agent to address in subsequent design iterations.</w:t>
      </w:r>
    </w:p>
    <w:p>
      <w:pPr>
        <w:pStyle w:val="heading2"/>
      </w:pPr>
      <w:r>
        <w:t>M2: Readout and Dispersive Shift Analysis</w:t>
      </w:r>
    </w:p>
    <w:p>
      <w:pPr>
        <w:pStyle w:val="p1a"/>
      </w:pPr>
      <w:r>
        <w:t>Module M2 characterizes the readout chain, computing the dispersive shift chi for each qubit-resonator pair:</w:t>
      </w:r>
    </w:p>
    <w:p>
      <w:pPr>
        <w:pStyle w:val="equation"/>
      </w:pPr>
      <w:r>
        <w:t>chi = g_r^2 * alpha / (Delta_r * (Delta_r + alpha))</w:t>
      </w:r>
    </w:p>
    <w:p>
      <w:pPr>
        <w:pStyle w:val="p1a"/>
      </w:pPr>
      <w:r>
        <w:t>where g_r is the qubit-resonator coupling and Delta_r is the qubit-resonator detuning. The dispersive shift determines the measurement-induced frequency shift that enables state discrimination. For the 20-qubit chip, readout resonator frequencies span 6.80 GHz to 7.18 GHz with linewidths (kappa) ranging from 0.99 MHz to 2.46 MHz and dispersive shifts from -0.22 MHz to 0.44 MHz. M2 validates that the dispersive approximation remains valid (chi &lt;&lt; kappa, Delta_r) and flags cases where the readout fidelity may be compromised by insufficient dispersive shift or excessive Purcell decay.</w:t>
      </w:r>
    </w:p>
    <w:p>
      <w:pPr>
        <w:pStyle w:val="heading2"/>
      </w:pPr>
      <w:r>
        <w:t>M3-M5: Noise Analysis, Diagnosis, and Experiment Planning</w:t>
      </w:r>
    </w:p>
    <w:p>
      <w:pPr>
        <w:pStyle w:val="p1a"/>
      </w:pPr>
      <w:r>
        <w:t>Module M3 constructs a comprehensive noise budget by decomposing the measured T1 and T2 times into contributions from individual noise mechanisms. For T1 relaxation, the total rate is the sum of rates from Purcell decay, dielectric loss, two-level system (TLS) defects, quasiparticle tunneling, and radiation loss:</w:t>
      </w:r>
    </w:p>
    <w:p>
      <w:pPr>
        <w:pStyle w:val="equation"/>
      </w:pPr>
      <w:r>
        <w:t>1/T1_total = 1/T1_Purcell + 1/T1_dielectric + 1/T1_TLS + 1/T1_qp + 1/T1_radiation</w:t>
      </w:r>
    </w:p>
    <w:p>
      <w:pPr>
        <w:pStyle w:val="p1a"/>
      </w:pPr>
      <w:r>
        <w:t>Similarly, T2 decoherence combines the T1-limited contribution with pure dephasing from flux noise, thermal photon fluctuations, and charge noise:</w:t>
      </w:r>
    </w:p>
    <w:p>
      <w:pPr>
        <w:pStyle w:val="equation"/>
      </w:pPr>
      <w:r>
        <w:t>1/T2 = 1/(2*T1) + 1/T_phi_flux + 1/T_phi_thermal + 1/T_phi_charge</w:t>
      </w:r>
    </w:p>
    <w:p>
      <w:pPr>
        <w:pStyle w:val="p1a"/>
      </w:pPr>
      <w:r>
        <w:t>Module M4 implements a Bayesian anomaly diagnosis framework. Given an observed performance anomaly (e.g., degraded T1, elevated gate error), M4 generates a ranked list of root cause hypotheses, each annotated with a confidence score, supporting and contradicting evidence, and a recommended verification experiment. The diagnosis follows a differential diagnosis approach inspired by medical AI systems, where competing hypotheses are systematically evaluated against available evidence. Module M5 generates adaptive experiment plans that maximize information gain under time and resource constraints. The planning algorithm prioritizes experiments that most effectively discriminate between competing hypotheses identified by M4, implementing a form of Bayesian experimental design [50]. Plans include stopping criteria based on posterior confidence thresholds and budget exhaustion, with adaptive policies that update priorities after each completed experiment.</w:t>
      </w:r>
    </w:p>
    <w:p>
      <w:pPr>
        <w:pStyle w:val="heading2"/>
      </w:pPr>
      <w:r>
        <w:t>M6-M8: Simulation, Optimization, and Design</w:t>
      </w:r>
    </w:p>
    <w:p>
      <w:pPr>
        <w:pStyle w:val="p1a"/>
      </w:pPr>
      <w:r>
        <w:t>Module M6 orchestrates electromagnetic simulations by generating appropriate input configurations for Q3D capacitance extraction, LOM parameter computation, EPR analysis, and eigenmode solving. The module manages the simulation workflow, including mesh convergence checking, result validation, and fallback to analytical estimates when numerical simulations fail. Module M7 implements gate pulse optimization using both analytical methods (DRAG for single-qubit gates) and numerical optimal control (GRAPE for two-qubit gates). The optimization accounts for hardware constraints including AWG sampling rate, bandwidth limitations, and FPGA timing precision. Module M8 synthesizes all prior analysis into a comprehensive design proposal, including frequency planning recommendations, coupler optimization targets, layout modifications, and a phased implementation roadmap with risk assessment.</w:t>
      </w:r>
    </w:p>
    <w:p>
      <w:pPr/>
      <w:r>
        <w:t>Module M7 implements a multi-objective design optimization framework that synthesizes the outputs of all preceding modules into actionable design proposals. The optimization operates across three time horizons: immediate parameter adjustments (pulse amplitudes, bias voltages, readout frequencies) that can be applied without hardware changes; mid-term structural modifications (Purcell filter addition, airbridge density increase, SQUID loop area reduction) for the next fabrication batch; and full chip redesign recommendations (new frequency plan, layout topology changes, packaging modifications) for the next design iteration. M7 generates Pareto-optimal solutions trading off coherence time, gate speed, fabrication yield, and frequency crowding, explicitly quantifying the expected performance gain and fabrication risk associated with each proposed change. This structured approach ensures that design decisions are made with full awareness of the multi-dimensional trade-off landscape rather than optimizing a single metric in isolation.</w:t>
      </w:r>
    </w:p>
    <w:p>
      <w:pPr/>
      <w:r>
        <w:t>Module M8 maintains a structured knowledge graph that maps experimental phenomena to physical mechanisms, validation experiments, and mitigation strategies. Unlike generic RAG (Retrieval-Augmented Generation) approaches that simply retrieve relevant text passages, M8 organizes knowledge into typed relationships: a phenomenon (e.g., T1 degradation) MAY_BE_CAUSED_BY a mechanism (e.g., dielectric loss), which is TESTED_BY a specific experiment type (e.g., frequency-dependent T1 measurement), and MITIGATED_BY a design change (e.g., improved substrate cleaning). Each knowledge entry carries an evidence level annotation (direct, indirect, or analogical) and a citation to the source literature. This structured representation enables the diagnosis module (M4) to perform systematic hypothesis elimination rather than ad hoc pattern matching, and allows the design optimization module (M7) to ground its recommendations in established physical understanding.</w:t>
      </w:r>
    </w:p>
    <w:p>
      <w:pPr>
        <w:pStyle w:val="heading1"/>
      </w:pPr>
      <w:r>
        <w:t>Chip Design Pipeline</w:t>
      </w:r>
    </w:p>
    <w:p>
      <w:pPr>
        <w:pStyle w:val="p1a"/>
      </w:pPr>
      <w:r>
        <w:t>The AetherQ chip design pipeline demonstrates the system's ability to manage the complete workflow from specification to physical layout. Figure 5 illustrates the pipeline stages.</w:t>
      </w:r>
    </w:p>
    <w:p>
      <w:pPr>
        <w:pStyle w:val="p1a"/>
        <w:jc w:val="center"/>
      </w:pPr>
      <w:r>
        <w:drawing>
          <wp:inline xmlns:a="http://schemas.openxmlformats.org/drawingml/2006/main" xmlns:pic="http://schemas.openxmlformats.org/drawingml/2006/picture">
            <wp:extent cx="4114800" cy="1402107"/>
            <wp:docPr id="5" name="Picture 5"/>
            <wp:cNvGraphicFramePr>
              <a:graphicFrameLocks noChangeAspect="1"/>
            </wp:cNvGraphicFramePr>
            <a:graphic>
              <a:graphicData uri="http://schemas.openxmlformats.org/drawingml/2006/picture">
                <pic:pic>
                  <pic:nvPicPr>
                    <pic:cNvPr id="0" name="fig5_pipeline.png"/>
                    <pic:cNvPicPr/>
                  </pic:nvPicPr>
                  <pic:blipFill>
                    <a:blip r:embed="rId22"/>
                    <a:stretch>
                      <a:fillRect/>
                    </a:stretch>
                  </pic:blipFill>
                  <pic:spPr>
                    <a:xfrm>
                      <a:off x="0" y="0"/>
                      <a:ext cx="4114800" cy="1402107"/>
                    </a:xfrm>
                    <a:prstGeom prst="rect"/>
                  </pic:spPr>
                </pic:pic>
              </a:graphicData>
            </a:graphic>
          </wp:inline>
        </w:drawing>
      </w:r>
    </w:p>
    <w:p>
      <w:pPr>
        <w:pStyle w:val="figurecaption"/>
        <w:jc w:val="center"/>
      </w:pPr>
      <w:r>
        <w:t>Fig. 5. The chip design pipeline in AetherQ, from initial specification through frequency planning, electromagnetic simulation, parameter extraction, and GDS layout generation.</w:t>
      </w:r>
    </w:p>
    <w:p>
      <w:pPr>
        <w:pStyle w:val="heading2"/>
      </w:pPr>
      <w:r>
        <w:t>20-Qubit Chip Specification</w:t>
      </w:r>
    </w:p>
    <w:p>
      <w:pPr>
        <w:pStyle w:val="p1a"/>
      </w:pPr>
      <w:r>
        <w:t>The target chip consists of 20 transmon qubits arranged in a linear chain topology with nearest-neighbor tunable couplers. The design specifications include: qubit frequencies spanning 5.17 GHz to 6.71 GHz with a non-uniform distribution designed to minimize frequency collisions; anharmonicities of -260 MHz providing adequate separation between computational and non-computational transitions; EJ/EC ratios of approximately 54.7 placing all qubits firmly in the transmon regime; readout resonator frequencies spanning 6.80 GHz to 7.18 GHz with 20 MHz spacing to enable frequency-multiplexed readout; and coupler coupling strengths between 7.59 MHz and 15.59 MHz enabling CZ gate times below 200 ns. Table 3 summarizes the key chip specifications.</w:t>
      </w:r>
    </w:p>
    <w:p>
      <w:pPr>
        <w:pStyle w:val="tablecaption"/>
        <w:jc w:val="center"/>
      </w:pPr>
      <w:r>
        <w:t>Table 3. Key specifications of the 20-qubit transmon chip with tunable couplers.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06"/>
        <w:gridCol w:w="2306"/>
        <w:gridCol w:w="2306"/>
      </w:tblGrid>
      <w:tr>
        <w:tc>
          <w:tcPr>
            <w:tcW w:type="dxa" w:w="2306"/>
            <w:tcMar/>
          </w:tcPr>
          <w:p>
            <w:pPr>
              <w:jc w:val="center"/>
            </w:pPr>
            <w:r>
              <w:rPr>
                <w:b/>
                <w:sz w:val="16"/>
              </w:rPr>
              <w:t>Parameter</w:t>
            </w:r>
          </w:p>
        </w:tc>
        <w:tc>
          <w:tcPr>
            <w:tcW w:type="dxa" w:w="2306"/>
            <w:tcMar/>
          </w:tcPr>
          <w:p>
            <w:pPr>
              <w:jc w:val="center"/>
            </w:pPr>
            <w:r>
              <w:rPr>
                <w:b/>
                <w:sz w:val="16"/>
              </w:rPr>
              <w:t>Value</w:t>
            </w:r>
          </w:p>
        </w:tc>
        <w:tc>
          <w:tcPr>
            <w:tcW w:type="dxa" w:w="2306"/>
            <w:tcMar/>
          </w:tcPr>
          <w:p>
            <w:pPr>
              <w:jc w:val="center"/>
            </w:pPr>
            <w:r>
              <w:rPr>
                <w:b/>
                <w:sz w:val="16"/>
              </w:rPr>
              <w:t>Unit</w:t>
            </w:r>
          </w:p>
        </w:tc>
      </w:tr>
      <w:tr>
        <w:tc>
          <w:tcPr>
            <w:tcW w:type="dxa" w:w="2306"/>
            <w:tcMar/>
          </w:tcPr>
          <w:p>
            <w:pPr>
              <w:jc w:val="center"/>
            </w:pPr>
            <w:r>
              <w:rPr>
                <w:sz w:val="16"/>
              </w:rPr>
              <w:t>Number of qubits</w:t>
            </w:r>
          </w:p>
        </w:tc>
        <w:tc>
          <w:tcPr>
            <w:tcW w:type="dxa" w:w="2306"/>
            <w:tcMar/>
          </w:tcPr>
          <w:p>
            <w:pPr>
              <w:jc w:val="center"/>
            </w:pPr>
            <w:r>
              <w:rPr>
                <w:sz w:val="16"/>
              </w:rPr>
              <w:t>20</w:t>
            </w:r>
          </w:p>
        </w:tc>
        <w:tc>
          <w:tcPr>
            <w:tcW w:type="dxa" w:w="2306"/>
            <w:tcMar/>
          </w:tcPr>
          <w:p>
            <w:pPr>
              <w:jc w:val="center"/>
            </w:pPr>
            <w:r>
              <w:rPr>
                <w:sz w:val="16"/>
              </w:rPr>
              <w:t>-</w:t>
            </w:r>
          </w:p>
        </w:tc>
      </w:tr>
      <w:tr>
        <w:tc>
          <w:tcPr>
            <w:tcW w:type="dxa" w:w="2306"/>
            <w:tcMar/>
          </w:tcPr>
          <w:p>
            <w:pPr>
              <w:jc w:val="center"/>
            </w:pPr>
            <w:r>
              <w:rPr>
                <w:sz w:val="16"/>
              </w:rPr>
              <w:t>Number of couplers</w:t>
            </w:r>
          </w:p>
        </w:tc>
        <w:tc>
          <w:tcPr>
            <w:tcW w:type="dxa" w:w="2306"/>
            <w:tcMar/>
          </w:tcPr>
          <w:p>
            <w:pPr>
              <w:jc w:val="center"/>
            </w:pPr>
            <w:r>
              <w:rPr>
                <w:sz w:val="16"/>
              </w:rPr>
              <w:t>19</w:t>
            </w:r>
          </w:p>
        </w:tc>
        <w:tc>
          <w:tcPr>
            <w:tcW w:type="dxa" w:w="2306"/>
            <w:tcMar/>
          </w:tcPr>
          <w:p>
            <w:pPr>
              <w:jc w:val="center"/>
            </w:pPr>
            <w:r>
              <w:rPr>
                <w:sz w:val="16"/>
              </w:rPr>
              <w:t>-</w:t>
            </w:r>
          </w:p>
        </w:tc>
      </w:tr>
      <w:tr>
        <w:tc>
          <w:tcPr>
            <w:tcW w:type="dxa" w:w="2306"/>
            <w:tcMar/>
          </w:tcPr>
          <w:p>
            <w:pPr>
              <w:jc w:val="center"/>
            </w:pPr>
            <w:r>
              <w:rPr>
                <w:sz w:val="16"/>
              </w:rPr>
              <w:t>Topology</w:t>
            </w:r>
          </w:p>
        </w:tc>
        <w:tc>
          <w:tcPr>
            <w:tcW w:type="dxa" w:w="2306"/>
            <w:tcMar/>
          </w:tcPr>
          <w:p>
            <w:pPr>
              <w:jc w:val="center"/>
            </w:pPr>
            <w:r>
              <w:rPr>
                <w:sz w:val="16"/>
              </w:rPr>
              <w:t>Linear chain</w:t>
            </w:r>
          </w:p>
        </w:tc>
        <w:tc>
          <w:tcPr>
            <w:tcW w:type="dxa" w:w="2306"/>
            <w:tcMar/>
          </w:tcPr>
          <w:p>
            <w:pPr>
              <w:jc w:val="center"/>
            </w:pPr>
            <w:r>
              <w:rPr>
                <w:sz w:val="16"/>
              </w:rPr>
              <w:t>-</w:t>
            </w:r>
          </w:p>
        </w:tc>
      </w:tr>
      <w:tr>
        <w:tc>
          <w:tcPr>
            <w:tcW w:type="dxa" w:w="2306"/>
            <w:tcMar/>
          </w:tcPr>
          <w:p>
            <w:pPr>
              <w:jc w:val="center"/>
            </w:pPr>
            <w:r>
              <w:rPr>
                <w:sz w:val="16"/>
              </w:rPr>
              <w:t>Qubit frequency range</w:t>
            </w:r>
          </w:p>
        </w:tc>
        <w:tc>
          <w:tcPr>
            <w:tcW w:type="dxa" w:w="2306"/>
            <w:tcMar/>
          </w:tcPr>
          <w:p>
            <w:pPr>
              <w:jc w:val="center"/>
            </w:pPr>
            <w:r>
              <w:rPr>
                <w:sz w:val="16"/>
              </w:rPr>
              <w:t>5.17 - 6.71</w:t>
            </w:r>
          </w:p>
        </w:tc>
        <w:tc>
          <w:tcPr>
            <w:tcW w:type="dxa" w:w="2306"/>
            <w:tcMar/>
          </w:tcPr>
          <w:p>
            <w:pPr>
              <w:jc w:val="center"/>
            </w:pPr>
            <w:r>
              <w:rPr>
                <w:sz w:val="16"/>
              </w:rPr>
              <w:t>GHz</w:t>
            </w:r>
          </w:p>
        </w:tc>
      </w:tr>
      <w:tr>
        <w:tc>
          <w:tcPr>
            <w:tcW w:type="dxa" w:w="2306"/>
            <w:tcMar/>
          </w:tcPr>
          <w:p>
            <w:pPr>
              <w:jc w:val="center"/>
            </w:pPr>
            <w:r>
              <w:rPr>
                <w:sz w:val="16"/>
              </w:rPr>
              <w:t>Anharmonicity</w:t>
            </w:r>
          </w:p>
        </w:tc>
        <w:tc>
          <w:tcPr>
            <w:tcW w:type="dxa" w:w="2306"/>
            <w:tcMar/>
          </w:tcPr>
          <w:p>
            <w:pPr>
              <w:jc w:val="center"/>
            </w:pPr>
            <w:r>
              <w:rPr>
                <w:sz w:val="16"/>
              </w:rPr>
              <w:t>-260</w:t>
            </w:r>
          </w:p>
        </w:tc>
        <w:tc>
          <w:tcPr>
            <w:tcW w:type="dxa" w:w="2306"/>
            <w:tcMar/>
          </w:tcPr>
          <w:p>
            <w:pPr>
              <w:jc w:val="center"/>
            </w:pPr>
            <w:r>
              <w:rPr>
                <w:sz w:val="16"/>
              </w:rPr>
              <w:t>MHz</w:t>
            </w:r>
          </w:p>
        </w:tc>
      </w:tr>
      <w:tr>
        <w:tc>
          <w:tcPr>
            <w:tcW w:type="dxa" w:w="2306"/>
            <w:tcMar/>
          </w:tcPr>
          <w:p>
            <w:pPr>
              <w:jc w:val="center"/>
            </w:pPr>
            <w:r>
              <w:rPr>
                <w:sz w:val="16"/>
              </w:rPr>
              <w:t>EJ/EC ratio</w:t>
            </w:r>
          </w:p>
        </w:tc>
        <w:tc>
          <w:tcPr>
            <w:tcW w:type="dxa" w:w="2306"/>
            <w:tcMar/>
          </w:tcPr>
          <w:p>
            <w:pPr>
              <w:jc w:val="center"/>
            </w:pPr>
            <w:r>
              <w:rPr>
                <w:sz w:val="16"/>
              </w:rPr>
              <w:t>54.7</w:t>
            </w:r>
          </w:p>
        </w:tc>
        <w:tc>
          <w:tcPr>
            <w:tcW w:type="dxa" w:w="2306"/>
            <w:tcMar/>
          </w:tcPr>
          <w:p>
            <w:pPr>
              <w:jc w:val="center"/>
            </w:pPr>
            <w:r>
              <w:rPr>
                <w:sz w:val="16"/>
              </w:rPr>
              <w:t>-</w:t>
            </w:r>
          </w:p>
        </w:tc>
      </w:tr>
      <w:tr>
        <w:tc>
          <w:tcPr>
            <w:tcW w:type="dxa" w:w="2306"/>
            <w:tcMar/>
          </w:tcPr>
          <w:p>
            <w:pPr>
              <w:jc w:val="center"/>
            </w:pPr>
            <w:r>
              <w:rPr>
                <w:sz w:val="16"/>
              </w:rPr>
              <w:t>Readout freq. range</w:t>
            </w:r>
          </w:p>
        </w:tc>
        <w:tc>
          <w:tcPr>
            <w:tcW w:type="dxa" w:w="2306"/>
            <w:tcMar/>
          </w:tcPr>
          <w:p>
            <w:pPr>
              <w:jc w:val="center"/>
            </w:pPr>
            <w:r>
              <w:rPr>
                <w:sz w:val="16"/>
              </w:rPr>
              <w:t>6.80 - 7.18</w:t>
            </w:r>
          </w:p>
        </w:tc>
        <w:tc>
          <w:tcPr>
            <w:tcW w:type="dxa" w:w="2306"/>
            <w:tcMar/>
          </w:tcPr>
          <w:p>
            <w:pPr>
              <w:jc w:val="center"/>
            </w:pPr>
            <w:r>
              <w:rPr>
                <w:sz w:val="16"/>
              </w:rPr>
              <w:t>GHz</w:t>
            </w:r>
          </w:p>
        </w:tc>
      </w:tr>
      <w:tr>
        <w:tc>
          <w:tcPr>
            <w:tcW w:type="dxa" w:w="2306"/>
            <w:tcMar/>
          </w:tcPr>
          <w:p>
            <w:pPr>
              <w:jc w:val="center"/>
            </w:pPr>
            <w:r>
              <w:rPr>
                <w:sz w:val="16"/>
              </w:rPr>
              <w:t>Readout kappa range</w:t>
            </w:r>
          </w:p>
        </w:tc>
        <w:tc>
          <w:tcPr>
            <w:tcW w:type="dxa" w:w="2306"/>
            <w:tcMar/>
          </w:tcPr>
          <w:p>
            <w:pPr>
              <w:jc w:val="center"/>
            </w:pPr>
            <w:r>
              <w:rPr>
                <w:sz w:val="16"/>
              </w:rPr>
              <w:t>0.99 - 2.46</w:t>
            </w:r>
          </w:p>
        </w:tc>
        <w:tc>
          <w:tcPr>
            <w:tcW w:type="dxa" w:w="2306"/>
            <w:tcMar/>
          </w:tcPr>
          <w:p>
            <w:pPr>
              <w:jc w:val="center"/>
            </w:pPr>
            <w:r>
              <w:rPr>
                <w:sz w:val="16"/>
              </w:rPr>
              <w:t>MHz</w:t>
            </w:r>
          </w:p>
        </w:tc>
      </w:tr>
      <w:tr>
        <w:tc>
          <w:tcPr>
            <w:tcW w:type="dxa" w:w="2306"/>
            <w:tcMar/>
          </w:tcPr>
          <w:p>
            <w:pPr>
              <w:jc w:val="center"/>
            </w:pPr>
            <w:r>
              <w:rPr>
                <w:sz w:val="16"/>
              </w:rPr>
              <w:t>Coupling strength range</w:t>
            </w:r>
          </w:p>
        </w:tc>
        <w:tc>
          <w:tcPr>
            <w:tcW w:type="dxa" w:w="2306"/>
            <w:tcMar/>
          </w:tcPr>
          <w:p>
            <w:pPr>
              <w:jc w:val="center"/>
            </w:pPr>
            <w:r>
              <w:rPr>
                <w:sz w:val="16"/>
              </w:rPr>
              <w:t>7.59 - 15.59</w:t>
            </w:r>
          </w:p>
        </w:tc>
        <w:tc>
          <w:tcPr>
            <w:tcW w:type="dxa" w:w="2306"/>
            <w:tcMar/>
          </w:tcPr>
          <w:p>
            <w:pPr>
              <w:jc w:val="center"/>
            </w:pPr>
            <w:r>
              <w:rPr>
                <w:sz w:val="16"/>
              </w:rPr>
              <w:t>MHz</w:t>
            </w:r>
          </w:p>
        </w:tc>
      </w:tr>
      <w:tr>
        <w:tc>
          <w:tcPr>
            <w:tcW w:type="dxa" w:w="2306"/>
            <w:tcMar/>
          </w:tcPr>
          <w:p>
            <w:pPr>
              <w:jc w:val="center"/>
            </w:pPr>
            <w:r>
              <w:rPr>
                <w:sz w:val="16"/>
              </w:rPr>
              <w:t>Residual ZZ range</w:t>
            </w:r>
          </w:p>
        </w:tc>
        <w:tc>
          <w:tcPr>
            <w:tcW w:type="dxa" w:w="2306"/>
            <w:tcMar/>
          </w:tcPr>
          <w:p>
            <w:pPr>
              <w:jc w:val="center"/>
            </w:pPr>
            <w:r>
              <w:rPr>
                <w:sz w:val="16"/>
              </w:rPr>
              <w:t>-18.0 to -84.1</w:t>
            </w:r>
          </w:p>
        </w:tc>
        <w:tc>
          <w:tcPr>
            <w:tcW w:type="dxa" w:w="2306"/>
            <w:tcMar/>
          </w:tcPr>
          <w:p>
            <w:pPr>
              <w:jc w:val="center"/>
            </w:pPr>
            <w:r>
              <w:rPr>
                <w:sz w:val="16"/>
              </w:rPr>
              <w:t>kHz</w:t>
            </w:r>
          </w:p>
        </w:tc>
      </w:tr>
    </w:tbl>
    <w:p>
      <w:pPr>
        <w:pStyle w:val="heading2"/>
      </w:pPr>
      <w:r>
        <w:t>Workflow and GDS Generation</w:t>
      </w:r>
    </w:p>
    <w:p>
      <w:pPr>
        <w:pStyle w:val="p1a"/>
      </w:pPr>
      <w:r>
        <w:t>The design pipeline proceeds through the following stages, each managed by the appropriate AetherQ agent. First, the Coordinator receives the high-level chip specification (qubit count, topology, target fidelities) and decomposes it into sub-tasks. The Theoretical Physicist agent constructs the Hamiltonian model (M0-M2), identifying frequency collisions and coupling constraints. The Chip Designer agent then invokes M8 to generate a design proposal with optimized frequency planning and layout modifications. The Simulation Engineer orchestrates electromagnetic simulations (M6) for a representative subset of qubits to validate the design against specifications. The Pulse Engineer optimizes gate pulses (M7) based on the extracted Hamiltonian parameters. Finally, the GDS Engineer generates the physical layout in GDS-II format, incorporating the design rules for the target fabrication process. Throughout this pipeline, the Safety Monitor validates that all intermediate results satisfy physical constraints, such as minimum feature sizes, maximum current densities, and frequency collision margins.</w:t>
      </w:r>
    </w:p>
    <w:p>
      <w:pPr>
        <w:pStyle w:val="p1a"/>
      </w:pPr>
      <w:r>
        <w:t>The GDS generation module implements a parametric layout approach where each circuit element (transmon, coupler, resonator, control line) is defined by a template with adjustable geometric parameters. The Josephson junction is represented by a Manhattan geometry with specified overlap area determining the junction capacitance, while the qubit capacitor pad dimensions are computed from the target EC value using analytical formulas validated against Q3D simulations. The coupler geometry is parameterized by the coupling capacitance, which is related to the target coupling strength through the LOM model. Airbridges are placed at regular intervals along transmission lines to suppress slot-line modes, with spacing determined by the maximum frequency of interest. The complete layout is exported as a GDS-II file compatible with standard electron-beam lithography and optical lithography fabrication processes.</w:t>
      </w:r>
    </w:p>
    <w:p>
      <w:pPr>
        <w:pStyle w:val="heading1"/>
      </w:pPr>
      <w:r>
        <w:t>Experiments and Results</w:t>
      </w:r>
    </w:p>
    <w:p>
      <w:pPr>
        <w:pStyle w:val="p1a"/>
      </w:pPr>
      <w:r>
        <w:t>We validate AetherQ through six comprehensive experiments that cover the major stages of the quantum chip research pipeline. Each experiment is presented with its task specification, methodology, quantitative results, and analysis. All experiments are conducted on the 20-qubit transmon chip specification described in the previous section.</w:t>
      </w:r>
    </w:p>
    <w:p>
      <w:pPr>
        <w:pStyle w:val="heading2"/>
      </w:pPr>
      <w:r>
        <w:t>Experiment 1: Autonomous Hamiltonian Construction</w:t>
      </w:r>
    </w:p>
    <w:p>
      <w:pPr>
        <w:pStyle w:val="p1a"/>
      </w:pPr>
      <w:r>
        <w:t>Task. Construct the complete quantum Hamiltonian for a 20-qubit transmon chip with tunable couplers, including qubit parameters, coupling network, readout chain, and frequency collision analysis.</w:t>
      </w:r>
    </w:p>
    <w:p>
      <w:pPr>
        <w:pStyle w:val="p1a"/>
      </w:pPr>
      <w:r>
        <w:t>Method. The Coordinator dispatches the task to the Theoretical Physicist agent, which sequentially invokes modules M0 (qubit parameter extraction), M1 (coupling analysis), and M2 (readout analysis). The EPR quantization method is used with a truncation dimension of 4 and parasitic coupling enabled. The model is identified as ham_9a0ca1b4 with device graph dg_c119fea7.</w:t>
      </w:r>
    </w:p>
    <w:p>
      <w:pPr>
        <w:pStyle w:val="p1a"/>
      </w:pPr>
      <w:r>
        <w:t>Results. The system successfully constructs the full Hamiltonian model for 20 qubits and 19 couplers in a single autonomous run. Table 4 shows a representative subset of the extracted qubit parameters. Qubit frequencies range from 5.174 GHz (Q1) to 6.713 GHz (Q20), with EJ values between 13.778 GHz and 14.833 GHz and a uniform EC of 0.26 GHz. The system identifies six frequency collision warnings with HIGH severity, the most critical being Q16-Q17 with a detuning of only 1.1 MHz. The model sensitivity analysis reveals that the qubit frequency is most sensitive to EJ, with a sensitivity of approximately +0.03 GHz per 1% change in EJ, while the anharmonicity sensitivity to EC is approximately -1 MHz per 1% EC change.</w:t>
      </w:r>
    </w:p>
    <w:p>
      <w:pPr>
        <w:pStyle w:val="tablecaption"/>
        <w:jc w:val="center"/>
      </w:pPr>
      <w:r>
        <w:t>Table 4. Extracted qubit parameters for Q1-Q10 of the 20-qubit chip.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53"/>
        <w:gridCol w:w="1153"/>
        <w:gridCol w:w="1153"/>
        <w:gridCol w:w="1153"/>
        <w:gridCol w:w="1153"/>
        <w:gridCol w:w="1153"/>
      </w:tblGrid>
      <w:tr>
        <w:tc>
          <w:tcPr>
            <w:tcW w:type="dxa" w:w="1153"/>
            <w:tcMar/>
          </w:tcPr>
          <w:p>
            <w:pPr>
              <w:jc w:val="center"/>
            </w:pPr>
            <w:r>
              <w:rPr>
                <w:b/>
                <w:sz w:val="16"/>
              </w:rPr>
              <w:t>Qubit</w:t>
            </w:r>
          </w:p>
        </w:tc>
        <w:tc>
          <w:tcPr>
            <w:tcW w:type="dxa" w:w="1153"/>
            <w:tcMar/>
          </w:tcPr>
          <w:p>
            <w:pPr>
              <w:jc w:val="center"/>
            </w:pPr>
            <w:r>
              <w:rPr>
                <w:b/>
                <w:sz w:val="16"/>
              </w:rPr>
              <w:t>f_01 (GHz)</w:t>
            </w:r>
          </w:p>
        </w:tc>
        <w:tc>
          <w:tcPr>
            <w:tcW w:type="dxa" w:w="1153"/>
            <w:tcMar/>
          </w:tcPr>
          <w:p>
            <w:pPr>
              <w:jc w:val="center"/>
            </w:pPr>
            <w:r>
              <w:rPr>
                <w:b/>
                <w:sz w:val="16"/>
              </w:rPr>
              <w:t>alpha (MHz)</w:t>
            </w:r>
          </w:p>
        </w:tc>
        <w:tc>
          <w:tcPr>
            <w:tcW w:type="dxa" w:w="1153"/>
            <w:tcMar/>
          </w:tcPr>
          <w:p>
            <w:pPr>
              <w:jc w:val="center"/>
            </w:pPr>
            <w:r>
              <w:rPr>
                <w:b/>
                <w:sz w:val="16"/>
              </w:rPr>
              <w:t>EJ (GHz)</w:t>
            </w:r>
          </w:p>
        </w:tc>
        <w:tc>
          <w:tcPr>
            <w:tcW w:type="dxa" w:w="1153"/>
            <w:tcMar/>
          </w:tcPr>
          <w:p>
            <w:pPr>
              <w:jc w:val="center"/>
            </w:pPr>
            <w:r>
              <w:rPr>
                <w:b/>
                <w:sz w:val="16"/>
              </w:rPr>
              <w:t>EC (GHz)</w:t>
            </w:r>
          </w:p>
        </w:tc>
        <w:tc>
          <w:tcPr>
            <w:tcW w:type="dxa" w:w="1153"/>
            <w:tcMar/>
          </w:tcPr>
          <w:p>
            <w:pPr>
              <w:jc w:val="center"/>
            </w:pPr>
            <w:r>
              <w:rPr>
                <w:b/>
                <w:sz w:val="16"/>
              </w:rPr>
              <w:t>EJ/EC</w:t>
            </w:r>
          </w:p>
        </w:tc>
      </w:tr>
      <w:tr>
        <w:tc>
          <w:tcPr>
            <w:tcW w:type="dxa" w:w="1153"/>
            <w:tcMar/>
          </w:tcPr>
          <w:p>
            <w:pPr>
              <w:jc w:val="center"/>
            </w:pPr>
            <w:r>
              <w:rPr>
                <w:sz w:val="16"/>
              </w:rPr>
              <w:t>Q1</w:t>
            </w:r>
          </w:p>
        </w:tc>
        <w:tc>
          <w:tcPr>
            <w:tcW w:type="dxa" w:w="1153"/>
            <w:tcMar/>
          </w:tcPr>
          <w:p>
            <w:pPr>
              <w:jc w:val="center"/>
            </w:pPr>
            <w:r>
              <w:rPr>
                <w:sz w:val="16"/>
              </w:rPr>
              <w:t>5.1739</w:t>
            </w:r>
          </w:p>
        </w:tc>
        <w:tc>
          <w:tcPr>
            <w:tcW w:type="dxa" w:w="1153"/>
            <w:tcMar/>
          </w:tcPr>
          <w:p>
            <w:pPr>
              <w:jc w:val="center"/>
            </w:pPr>
            <w:r>
              <w:rPr>
                <w:sz w:val="16"/>
              </w:rPr>
              <w:t>-260.0</w:t>
            </w:r>
          </w:p>
        </w:tc>
        <w:tc>
          <w:tcPr>
            <w:tcW w:type="dxa" w:w="1153"/>
            <w:tcMar/>
          </w:tcPr>
          <w:p>
            <w:pPr>
              <w:jc w:val="center"/>
            </w:pPr>
            <w:r>
              <w:rPr>
                <w:sz w:val="16"/>
              </w:rPr>
              <w:t>13.778</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Q2</w:t>
            </w:r>
          </w:p>
        </w:tc>
        <w:tc>
          <w:tcPr>
            <w:tcW w:type="dxa" w:w="1153"/>
            <w:tcMar/>
          </w:tcPr>
          <w:p>
            <w:pPr>
              <w:jc w:val="center"/>
            </w:pPr>
            <w:r>
              <w:rPr>
                <w:sz w:val="16"/>
              </w:rPr>
              <w:t>5.2154</w:t>
            </w:r>
          </w:p>
        </w:tc>
        <w:tc>
          <w:tcPr>
            <w:tcW w:type="dxa" w:w="1153"/>
            <w:tcMar/>
          </w:tcPr>
          <w:p>
            <w:pPr>
              <w:jc w:val="center"/>
            </w:pPr>
            <w:r>
              <w:rPr>
                <w:sz w:val="16"/>
              </w:rPr>
              <w:t>-260.0</w:t>
            </w:r>
          </w:p>
        </w:tc>
        <w:tc>
          <w:tcPr>
            <w:tcW w:type="dxa" w:w="1153"/>
            <w:tcMar/>
          </w:tcPr>
          <w:p>
            <w:pPr>
              <w:jc w:val="center"/>
            </w:pPr>
            <w:r>
              <w:rPr>
                <w:sz w:val="16"/>
              </w:rPr>
              <w:t>14.166</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Q3</w:t>
            </w:r>
          </w:p>
        </w:tc>
        <w:tc>
          <w:tcPr>
            <w:tcW w:type="dxa" w:w="1153"/>
            <w:tcMar/>
          </w:tcPr>
          <w:p>
            <w:pPr>
              <w:jc w:val="center"/>
            </w:pPr>
            <w:r>
              <w:rPr>
                <w:sz w:val="16"/>
              </w:rPr>
              <w:t>5.2361</w:t>
            </w:r>
          </w:p>
        </w:tc>
        <w:tc>
          <w:tcPr>
            <w:tcW w:type="dxa" w:w="1153"/>
            <w:tcMar/>
          </w:tcPr>
          <w:p>
            <w:pPr>
              <w:jc w:val="center"/>
            </w:pPr>
            <w:r>
              <w:rPr>
                <w:sz w:val="16"/>
              </w:rPr>
              <w:t>-260.0</w:t>
            </w:r>
          </w:p>
        </w:tc>
        <w:tc>
          <w:tcPr>
            <w:tcW w:type="dxa" w:w="1153"/>
            <w:tcMar/>
          </w:tcPr>
          <w:p>
            <w:pPr>
              <w:jc w:val="center"/>
            </w:pPr>
            <w:r>
              <w:rPr>
                <w:sz w:val="16"/>
              </w:rPr>
              <w:t>14.349</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Q4</w:t>
            </w:r>
          </w:p>
        </w:tc>
        <w:tc>
          <w:tcPr>
            <w:tcW w:type="dxa" w:w="1153"/>
            <w:tcMar/>
          </w:tcPr>
          <w:p>
            <w:pPr>
              <w:jc w:val="center"/>
            </w:pPr>
            <w:r>
              <w:rPr>
                <w:sz w:val="16"/>
              </w:rPr>
              <w:t>5.3487</w:t>
            </w:r>
          </w:p>
        </w:tc>
        <w:tc>
          <w:tcPr>
            <w:tcW w:type="dxa" w:w="1153"/>
            <w:tcMar/>
          </w:tcPr>
          <w:p>
            <w:pPr>
              <w:jc w:val="center"/>
            </w:pPr>
            <w:r>
              <w:rPr>
                <w:sz w:val="16"/>
              </w:rPr>
              <w:t>-260.0</w:t>
            </w:r>
          </w:p>
        </w:tc>
        <w:tc>
          <w:tcPr>
            <w:tcW w:type="dxa" w:w="1153"/>
            <w:tcMar/>
          </w:tcPr>
          <w:p>
            <w:pPr>
              <w:jc w:val="center"/>
            </w:pPr>
            <w:r>
              <w:rPr>
                <w:sz w:val="16"/>
              </w:rPr>
              <w:t>13.918</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Q5</w:t>
            </w:r>
          </w:p>
        </w:tc>
        <w:tc>
          <w:tcPr>
            <w:tcW w:type="dxa" w:w="1153"/>
            <w:tcMar/>
          </w:tcPr>
          <w:p>
            <w:pPr>
              <w:jc w:val="center"/>
            </w:pPr>
            <w:r>
              <w:rPr>
                <w:sz w:val="16"/>
              </w:rPr>
              <w:t>5.5925</w:t>
            </w:r>
          </w:p>
        </w:tc>
        <w:tc>
          <w:tcPr>
            <w:tcW w:type="dxa" w:w="1153"/>
            <w:tcMar/>
          </w:tcPr>
          <w:p>
            <w:pPr>
              <w:jc w:val="center"/>
            </w:pPr>
            <w:r>
              <w:rPr>
                <w:sz w:val="16"/>
              </w:rPr>
              <w:t>-260.0</w:t>
            </w:r>
          </w:p>
        </w:tc>
        <w:tc>
          <w:tcPr>
            <w:tcW w:type="dxa" w:w="1153"/>
            <w:tcMar/>
          </w:tcPr>
          <w:p>
            <w:pPr>
              <w:jc w:val="center"/>
            </w:pPr>
            <w:r>
              <w:rPr>
                <w:sz w:val="16"/>
              </w:rPr>
              <w:t>14.284</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Q6</w:t>
            </w:r>
          </w:p>
        </w:tc>
        <w:tc>
          <w:tcPr>
            <w:tcW w:type="dxa" w:w="1153"/>
            <w:tcMar/>
          </w:tcPr>
          <w:p>
            <w:pPr>
              <w:jc w:val="center"/>
            </w:pPr>
            <w:r>
              <w:rPr>
                <w:sz w:val="16"/>
              </w:rPr>
              <w:t>5.5336</w:t>
            </w:r>
          </w:p>
        </w:tc>
        <w:tc>
          <w:tcPr>
            <w:tcW w:type="dxa" w:w="1153"/>
            <w:tcMar/>
          </w:tcPr>
          <w:p>
            <w:pPr>
              <w:jc w:val="center"/>
            </w:pPr>
            <w:r>
              <w:rPr>
                <w:sz w:val="16"/>
              </w:rPr>
              <w:t>-260.0</w:t>
            </w:r>
          </w:p>
        </w:tc>
        <w:tc>
          <w:tcPr>
            <w:tcW w:type="dxa" w:w="1153"/>
            <w:tcMar/>
          </w:tcPr>
          <w:p>
            <w:pPr>
              <w:jc w:val="center"/>
            </w:pPr>
            <w:r>
              <w:rPr>
                <w:sz w:val="16"/>
              </w:rPr>
              <w:t>14.788</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Q7</w:t>
            </w:r>
          </w:p>
        </w:tc>
        <w:tc>
          <w:tcPr>
            <w:tcW w:type="dxa" w:w="1153"/>
            <w:tcMar/>
          </w:tcPr>
          <w:p>
            <w:pPr>
              <w:jc w:val="center"/>
            </w:pPr>
            <w:r>
              <w:rPr>
                <w:sz w:val="16"/>
              </w:rPr>
              <w:t>5.6542</w:t>
            </w:r>
          </w:p>
        </w:tc>
        <w:tc>
          <w:tcPr>
            <w:tcW w:type="dxa" w:w="1153"/>
            <w:tcMar/>
          </w:tcPr>
          <w:p>
            <w:pPr>
              <w:jc w:val="center"/>
            </w:pPr>
            <w:r>
              <w:rPr>
                <w:sz w:val="16"/>
              </w:rPr>
              <w:t>-260.0</w:t>
            </w:r>
          </w:p>
        </w:tc>
        <w:tc>
          <w:tcPr>
            <w:tcW w:type="dxa" w:w="1153"/>
            <w:tcMar/>
          </w:tcPr>
          <w:p>
            <w:pPr>
              <w:jc w:val="center"/>
            </w:pPr>
            <w:r>
              <w:rPr>
                <w:sz w:val="16"/>
              </w:rPr>
              <w:t>14.081</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Q8</w:t>
            </w:r>
          </w:p>
        </w:tc>
        <w:tc>
          <w:tcPr>
            <w:tcW w:type="dxa" w:w="1153"/>
            <w:tcMar/>
          </w:tcPr>
          <w:p>
            <w:pPr>
              <w:jc w:val="center"/>
            </w:pPr>
            <w:r>
              <w:rPr>
                <w:sz w:val="16"/>
              </w:rPr>
              <w:t>5.7827</w:t>
            </w:r>
          </w:p>
        </w:tc>
        <w:tc>
          <w:tcPr>
            <w:tcW w:type="dxa" w:w="1153"/>
            <w:tcMar/>
          </w:tcPr>
          <w:p>
            <w:pPr>
              <w:jc w:val="center"/>
            </w:pPr>
            <w:r>
              <w:rPr>
                <w:sz w:val="16"/>
              </w:rPr>
              <w:t>-260.0</w:t>
            </w:r>
          </w:p>
        </w:tc>
        <w:tc>
          <w:tcPr>
            <w:tcW w:type="dxa" w:w="1153"/>
            <w:tcMar/>
          </w:tcPr>
          <w:p>
            <w:pPr>
              <w:jc w:val="center"/>
            </w:pPr>
            <w:r>
              <w:rPr>
                <w:sz w:val="16"/>
              </w:rPr>
              <w:t>14.350</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Q9</w:t>
            </w:r>
          </w:p>
        </w:tc>
        <w:tc>
          <w:tcPr>
            <w:tcW w:type="dxa" w:w="1153"/>
            <w:tcMar/>
          </w:tcPr>
          <w:p>
            <w:pPr>
              <w:jc w:val="center"/>
            </w:pPr>
            <w:r>
              <w:rPr>
                <w:sz w:val="16"/>
              </w:rPr>
              <w:t>5.8425</w:t>
            </w:r>
          </w:p>
        </w:tc>
        <w:tc>
          <w:tcPr>
            <w:tcW w:type="dxa" w:w="1153"/>
            <w:tcMar/>
          </w:tcPr>
          <w:p>
            <w:pPr>
              <w:jc w:val="center"/>
            </w:pPr>
            <w:r>
              <w:rPr>
                <w:sz w:val="16"/>
              </w:rPr>
              <w:t>-260.0</w:t>
            </w:r>
          </w:p>
        </w:tc>
        <w:tc>
          <w:tcPr>
            <w:tcW w:type="dxa" w:w="1153"/>
            <w:tcMar/>
          </w:tcPr>
          <w:p>
            <w:pPr>
              <w:jc w:val="center"/>
            </w:pPr>
            <w:r>
              <w:rPr>
                <w:sz w:val="16"/>
              </w:rPr>
              <w:t>13.922</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Q10</w:t>
            </w:r>
          </w:p>
        </w:tc>
        <w:tc>
          <w:tcPr>
            <w:tcW w:type="dxa" w:w="1153"/>
            <w:tcMar/>
          </w:tcPr>
          <w:p>
            <w:pPr>
              <w:jc w:val="center"/>
            </w:pPr>
            <w:r>
              <w:rPr>
                <w:sz w:val="16"/>
              </w:rPr>
              <w:t>5.8950</w:t>
            </w:r>
          </w:p>
        </w:tc>
        <w:tc>
          <w:tcPr>
            <w:tcW w:type="dxa" w:w="1153"/>
            <w:tcMar/>
          </w:tcPr>
          <w:p>
            <w:pPr>
              <w:jc w:val="center"/>
            </w:pPr>
            <w:r>
              <w:rPr>
                <w:sz w:val="16"/>
              </w:rPr>
              <w:t>-260.0</w:t>
            </w:r>
          </w:p>
        </w:tc>
        <w:tc>
          <w:tcPr>
            <w:tcW w:type="dxa" w:w="1153"/>
            <w:tcMar/>
          </w:tcPr>
          <w:p>
            <w:pPr>
              <w:jc w:val="center"/>
            </w:pPr>
            <w:r>
              <w:rPr>
                <w:sz w:val="16"/>
              </w:rPr>
              <w:t>14.337</w:t>
            </w:r>
          </w:p>
        </w:tc>
        <w:tc>
          <w:tcPr>
            <w:tcW w:type="dxa" w:w="1153"/>
            <w:tcMar/>
          </w:tcPr>
          <w:p>
            <w:pPr>
              <w:jc w:val="center"/>
            </w:pPr>
            <w:r>
              <w:rPr>
                <w:sz w:val="16"/>
              </w:rPr>
              <w:t>0.26</w:t>
            </w:r>
          </w:p>
        </w:tc>
        <w:tc>
          <w:tcPr>
            <w:tcW w:type="dxa" w:w="1153"/>
            <w:tcMar/>
          </w:tcPr>
          <w:p>
            <w:pPr>
              <w:jc w:val="center"/>
            </w:pPr>
            <w:r>
              <w:rPr>
                <w:sz w:val="16"/>
              </w:rPr>
              <w:t>54.7</w:t>
            </w:r>
          </w:p>
        </w:tc>
      </w:tr>
    </w:tbl>
    <w:p>
      <w:pPr>
        <w:pStyle w:val="p1a"/>
      </w:pPr>
      <w:r>
        <w:t>Analysis. The Hamiltonian construction demonstrates several key capabilities of AetherQ. First, the system correctly applies the transmon approximation and validates its applicability by checking the EJ/EC ratio. Second, the coupling analysis reveals a wide range of coupling strengths (7.59-15.59 MHz) and ZZ interactions (-18.0 to -84.1 kHz), reflecting the non-uniform frequency distribution. Third, the frequency collision detection identifies six problematic qubit pairs, providing actionable information for design iteration. The system also verifies that the rotating wave approximation (RWA) and dispersive approximation remain valid, ensuring the theoretical model is self-consistent. The complete Hamiltonian construction, including all validation checks, is performed autonomously without human intervention, reducing what would typically require several hours of expert analysis to approximately two minutes of computation.</w:t>
      </w:r>
    </w:p>
    <w:p>
      <w:pPr>
        <w:pStyle w:val="heading2"/>
      </w:pPr>
      <w:r>
        <w:t>Experiment 2: Noise Budget Decomposition</w:t>
      </w:r>
    </w:p>
    <w:p>
      <w:pPr>
        <w:pStyle w:val="p1a"/>
      </w:pPr>
      <w:r>
        <w:t>Task. Decompose the measured T1 and T2 coherence times into contributions from individual noise mechanisms, construct a gate error budget, and identify the most impactful parameters for improvement.</w:t>
      </w:r>
    </w:p>
    <w:p>
      <w:pPr>
        <w:pStyle w:val="p1a"/>
      </w:pPr>
      <w:r>
        <w:t>Method. The Noise Analyst agent invokes Module M3, which takes the Hamiltonian model (ham_9a0ca1b4) and measured coherence times (T1 = 45 us, T2 = 30 us) as inputs. The analysis is performed at an operating temperature of 15 mK. The module computes individual T1 contributions using material-specific loss tangents and geometric participation ratios, and T2 contributions using measured noise power spectral densities.</w:t>
      </w:r>
    </w:p>
    <w:p>
      <w:pPr>
        <w:pStyle w:val="p1a"/>
      </w:pPr>
      <w:r>
        <w:t>Results. Table 5 presents the T1 and T2 noise budget decomposition. The theoretical total T1 is 30.0 us (measured 45.0 us), with the dominant contributions being dielectric loss (T1 = 76.0 us, 39.5% of total rate), TLS defects (T1 = 115.6 us, 25.9%), Purcell decay (T1 = 193.3 us, 15.5%), radiation loss (T1 = 255.9 us, 11.7%), and quasiparticle tunneling (T1 = 407.1 us, 7.4%). For T2, the theoretical total is 24.8 us (measured 30.0 us), with the T1-limited contribution at 60.0 us and the dominant pure dephasing mechanism being 1/f flux noise (T_phi = 56.1 us, 22.1%).</w:t>
      </w:r>
    </w:p>
    <w:p>
      <w:pPr>
        <w:pStyle w:val="tablecaption"/>
        <w:jc w:val="center"/>
      </w:pPr>
      <w:r>
        <w:t>Table 5. Noise budget decomposition for the 20-qubit chip at 15 mK operating temperature.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9"/>
        <w:gridCol w:w="1729"/>
        <w:gridCol w:w="1729"/>
        <w:gridCol w:w="1729"/>
      </w:tblGrid>
      <w:tr>
        <w:tc>
          <w:tcPr>
            <w:tcW w:type="dxa" w:w="1729"/>
            <w:tcMar/>
          </w:tcPr>
          <w:p>
            <w:pPr>
              <w:jc w:val="center"/>
            </w:pPr>
            <w:r>
              <w:rPr>
                <w:b/>
                <w:sz w:val="16"/>
              </w:rPr>
              <w:t>Mechanism</w:t>
            </w:r>
          </w:p>
        </w:tc>
        <w:tc>
          <w:tcPr>
            <w:tcW w:type="dxa" w:w="1729"/>
            <w:tcMar/>
          </w:tcPr>
          <w:p>
            <w:pPr>
              <w:jc w:val="center"/>
            </w:pPr>
            <w:r>
              <w:rPr>
                <w:b/>
                <w:sz w:val="16"/>
              </w:rPr>
              <w:t>T1/T2 contribution (us)</w:t>
            </w:r>
          </w:p>
        </w:tc>
        <w:tc>
          <w:tcPr>
            <w:tcW w:type="dxa" w:w="1729"/>
            <w:tcMar/>
          </w:tcPr>
          <w:p>
            <w:pPr>
              <w:jc w:val="center"/>
            </w:pPr>
            <w:r>
              <w:rPr>
                <w:b/>
                <w:sz w:val="16"/>
              </w:rPr>
              <w:t>Rate contribution (%)</w:t>
            </w:r>
          </w:p>
        </w:tc>
        <w:tc>
          <w:tcPr>
            <w:tcW w:type="dxa" w:w="1729"/>
            <w:tcMar/>
          </w:tcPr>
          <w:p>
            <w:pPr>
              <w:jc w:val="center"/>
            </w:pPr>
            <w:r>
              <w:rPr>
                <w:b/>
                <w:sz w:val="16"/>
              </w:rPr>
              <w:t>Category</w:t>
            </w:r>
          </w:p>
        </w:tc>
      </w:tr>
      <w:tr>
        <w:tc>
          <w:tcPr>
            <w:tcW w:type="dxa" w:w="1729"/>
            <w:tcMar/>
          </w:tcPr>
          <w:p>
            <w:pPr>
              <w:jc w:val="center"/>
            </w:pPr>
            <w:r>
              <w:rPr>
                <w:sz w:val="16"/>
              </w:rPr>
              <w:t>Dielectric loss</w:t>
            </w:r>
          </w:p>
        </w:tc>
        <w:tc>
          <w:tcPr>
            <w:tcW w:type="dxa" w:w="1729"/>
            <w:tcMar/>
          </w:tcPr>
          <w:p>
            <w:pPr>
              <w:jc w:val="center"/>
            </w:pPr>
            <w:r>
              <w:rPr>
                <w:sz w:val="16"/>
              </w:rPr>
              <w:t>76.0</w:t>
            </w:r>
          </w:p>
        </w:tc>
        <w:tc>
          <w:tcPr>
            <w:tcW w:type="dxa" w:w="1729"/>
            <w:tcMar/>
          </w:tcPr>
          <w:p>
            <w:pPr>
              <w:jc w:val="center"/>
            </w:pPr>
            <w:r>
              <w:rPr>
                <w:sz w:val="16"/>
              </w:rPr>
              <w:t>39.5</w:t>
            </w:r>
          </w:p>
        </w:tc>
        <w:tc>
          <w:tcPr>
            <w:tcW w:type="dxa" w:w="1729"/>
            <w:tcMar/>
          </w:tcPr>
          <w:p>
            <w:pPr>
              <w:jc w:val="center"/>
            </w:pPr>
            <w:r>
              <w:rPr>
                <w:sz w:val="16"/>
              </w:rPr>
              <w:t>T1 limiter</w:t>
            </w:r>
          </w:p>
        </w:tc>
      </w:tr>
      <w:tr>
        <w:tc>
          <w:tcPr>
            <w:tcW w:type="dxa" w:w="1729"/>
            <w:tcMar/>
          </w:tcPr>
          <w:p>
            <w:pPr>
              <w:jc w:val="center"/>
            </w:pPr>
            <w:r>
              <w:rPr>
                <w:sz w:val="16"/>
              </w:rPr>
              <w:t>TLS defects</w:t>
            </w:r>
          </w:p>
        </w:tc>
        <w:tc>
          <w:tcPr>
            <w:tcW w:type="dxa" w:w="1729"/>
            <w:tcMar/>
          </w:tcPr>
          <w:p>
            <w:pPr>
              <w:jc w:val="center"/>
            </w:pPr>
            <w:r>
              <w:rPr>
                <w:sz w:val="16"/>
              </w:rPr>
              <w:t>115.6</w:t>
            </w:r>
          </w:p>
        </w:tc>
        <w:tc>
          <w:tcPr>
            <w:tcW w:type="dxa" w:w="1729"/>
            <w:tcMar/>
          </w:tcPr>
          <w:p>
            <w:pPr>
              <w:jc w:val="center"/>
            </w:pPr>
            <w:r>
              <w:rPr>
                <w:sz w:val="16"/>
              </w:rPr>
              <w:t>25.9</w:t>
            </w:r>
          </w:p>
        </w:tc>
        <w:tc>
          <w:tcPr>
            <w:tcW w:type="dxa" w:w="1729"/>
            <w:tcMar/>
          </w:tcPr>
          <w:p>
            <w:pPr>
              <w:jc w:val="center"/>
            </w:pPr>
            <w:r>
              <w:rPr>
                <w:sz w:val="16"/>
              </w:rPr>
              <w:t>T1 limiter</w:t>
            </w:r>
          </w:p>
        </w:tc>
      </w:tr>
      <w:tr>
        <w:tc>
          <w:tcPr>
            <w:tcW w:type="dxa" w:w="1729"/>
            <w:tcMar/>
          </w:tcPr>
          <w:p>
            <w:pPr>
              <w:jc w:val="center"/>
            </w:pPr>
            <w:r>
              <w:rPr>
                <w:sz w:val="16"/>
              </w:rPr>
              <w:t>1/f flux noise</w:t>
            </w:r>
          </w:p>
        </w:tc>
        <w:tc>
          <w:tcPr>
            <w:tcW w:type="dxa" w:w="1729"/>
            <w:tcMar/>
          </w:tcPr>
          <w:p>
            <w:pPr>
              <w:jc w:val="center"/>
            </w:pPr>
            <w:r>
              <w:rPr>
                <w:sz w:val="16"/>
              </w:rPr>
              <w:t>56.1 (T_phi)</w:t>
            </w:r>
          </w:p>
        </w:tc>
        <w:tc>
          <w:tcPr>
            <w:tcW w:type="dxa" w:w="1729"/>
            <w:tcMar/>
          </w:tcPr>
          <w:p>
            <w:pPr>
              <w:jc w:val="center"/>
            </w:pPr>
            <w:r>
              <w:rPr>
                <w:sz w:val="16"/>
              </w:rPr>
              <w:t>22.1</w:t>
            </w:r>
          </w:p>
        </w:tc>
        <w:tc>
          <w:tcPr>
            <w:tcW w:type="dxa" w:w="1729"/>
            <w:tcMar/>
          </w:tcPr>
          <w:p>
            <w:pPr>
              <w:jc w:val="center"/>
            </w:pPr>
            <w:r>
              <w:rPr>
                <w:sz w:val="16"/>
              </w:rPr>
              <w:t>T2 limiter</w:t>
            </w:r>
          </w:p>
        </w:tc>
      </w:tr>
      <w:tr>
        <w:tc>
          <w:tcPr>
            <w:tcW w:type="dxa" w:w="1729"/>
            <w:tcMar/>
          </w:tcPr>
          <w:p>
            <w:pPr>
              <w:jc w:val="center"/>
            </w:pPr>
            <w:r>
              <w:rPr>
                <w:sz w:val="16"/>
              </w:rPr>
              <w:t>Purcell decay</w:t>
            </w:r>
          </w:p>
        </w:tc>
        <w:tc>
          <w:tcPr>
            <w:tcW w:type="dxa" w:w="1729"/>
            <w:tcMar/>
          </w:tcPr>
          <w:p>
            <w:pPr>
              <w:jc w:val="center"/>
            </w:pPr>
            <w:r>
              <w:rPr>
                <w:sz w:val="16"/>
              </w:rPr>
              <w:t>193.3</w:t>
            </w:r>
          </w:p>
        </w:tc>
        <w:tc>
          <w:tcPr>
            <w:tcW w:type="dxa" w:w="1729"/>
            <w:tcMar/>
          </w:tcPr>
          <w:p>
            <w:pPr>
              <w:jc w:val="center"/>
            </w:pPr>
            <w:r>
              <w:rPr>
                <w:sz w:val="16"/>
              </w:rPr>
              <w:t>15.5</w:t>
            </w:r>
          </w:p>
        </w:tc>
        <w:tc>
          <w:tcPr>
            <w:tcW w:type="dxa" w:w="1729"/>
            <w:tcMar/>
          </w:tcPr>
          <w:p>
            <w:pPr>
              <w:jc w:val="center"/>
            </w:pPr>
            <w:r>
              <w:rPr>
                <w:sz w:val="16"/>
              </w:rPr>
              <w:t>T1 limiter</w:t>
            </w:r>
          </w:p>
        </w:tc>
      </w:tr>
      <w:tr>
        <w:tc>
          <w:tcPr>
            <w:tcW w:type="dxa" w:w="1729"/>
            <w:tcMar/>
          </w:tcPr>
          <w:p>
            <w:pPr>
              <w:jc w:val="center"/>
            </w:pPr>
            <w:r>
              <w:rPr>
                <w:sz w:val="16"/>
              </w:rPr>
              <w:t>Radiation loss</w:t>
            </w:r>
          </w:p>
        </w:tc>
        <w:tc>
          <w:tcPr>
            <w:tcW w:type="dxa" w:w="1729"/>
            <w:tcMar/>
          </w:tcPr>
          <w:p>
            <w:pPr>
              <w:jc w:val="center"/>
            </w:pPr>
            <w:r>
              <w:rPr>
                <w:sz w:val="16"/>
              </w:rPr>
              <w:t>255.9</w:t>
            </w:r>
          </w:p>
        </w:tc>
        <w:tc>
          <w:tcPr>
            <w:tcW w:type="dxa" w:w="1729"/>
            <w:tcMar/>
          </w:tcPr>
          <w:p>
            <w:pPr>
              <w:jc w:val="center"/>
            </w:pPr>
            <w:r>
              <w:rPr>
                <w:sz w:val="16"/>
              </w:rPr>
              <w:t>11.7</w:t>
            </w:r>
          </w:p>
        </w:tc>
        <w:tc>
          <w:tcPr>
            <w:tcW w:type="dxa" w:w="1729"/>
            <w:tcMar/>
          </w:tcPr>
          <w:p>
            <w:pPr>
              <w:jc w:val="center"/>
            </w:pPr>
            <w:r>
              <w:rPr>
                <w:sz w:val="16"/>
              </w:rPr>
              <w:t>T1 limiter</w:t>
            </w:r>
          </w:p>
        </w:tc>
      </w:tr>
      <w:tr>
        <w:tc>
          <w:tcPr>
            <w:tcW w:type="dxa" w:w="1729"/>
            <w:tcMar/>
          </w:tcPr>
          <w:p>
            <w:pPr>
              <w:jc w:val="center"/>
            </w:pPr>
            <w:r>
              <w:rPr>
                <w:sz w:val="16"/>
              </w:rPr>
              <w:t>Quasiparticle tunneling</w:t>
            </w:r>
          </w:p>
        </w:tc>
        <w:tc>
          <w:tcPr>
            <w:tcW w:type="dxa" w:w="1729"/>
            <w:tcMar/>
          </w:tcPr>
          <w:p>
            <w:pPr>
              <w:jc w:val="center"/>
            </w:pPr>
            <w:r>
              <w:rPr>
                <w:sz w:val="16"/>
              </w:rPr>
              <w:t>407.1</w:t>
            </w:r>
          </w:p>
        </w:tc>
        <w:tc>
          <w:tcPr>
            <w:tcW w:type="dxa" w:w="1729"/>
            <w:tcMar/>
          </w:tcPr>
          <w:p>
            <w:pPr>
              <w:jc w:val="center"/>
            </w:pPr>
            <w:r>
              <w:rPr>
                <w:sz w:val="16"/>
              </w:rPr>
              <w:t>7.4</w:t>
            </w:r>
          </w:p>
        </w:tc>
        <w:tc>
          <w:tcPr>
            <w:tcW w:type="dxa" w:w="1729"/>
            <w:tcMar/>
          </w:tcPr>
          <w:p>
            <w:pPr>
              <w:jc w:val="center"/>
            </w:pPr>
            <w:r>
              <w:rPr>
                <w:sz w:val="16"/>
              </w:rPr>
              <w:t>T1 limiter</w:t>
            </w:r>
          </w:p>
        </w:tc>
      </w:tr>
      <w:tr>
        <w:tc>
          <w:tcPr>
            <w:tcW w:type="dxa" w:w="1729"/>
            <w:tcMar/>
          </w:tcPr>
          <w:p>
            <w:pPr>
              <w:jc w:val="center"/>
            </w:pPr>
            <w:r>
              <w:rPr>
                <w:sz w:val="16"/>
              </w:rPr>
              <w:t>Thermal photon dephasing</w:t>
            </w:r>
          </w:p>
        </w:tc>
        <w:tc>
          <w:tcPr>
            <w:tcW w:type="dxa" w:w="1729"/>
            <w:tcMar/>
          </w:tcPr>
          <w:p>
            <w:pPr>
              <w:jc w:val="center"/>
            </w:pPr>
            <w:r>
              <w:rPr>
                <w:sz w:val="16"/>
              </w:rPr>
              <w:t>205.0 (T_phi)</w:t>
            </w:r>
          </w:p>
        </w:tc>
        <w:tc>
          <w:tcPr>
            <w:tcW w:type="dxa" w:w="1729"/>
            <w:tcMar/>
          </w:tcPr>
          <w:p>
            <w:pPr>
              <w:jc w:val="center"/>
            </w:pPr>
            <w:r>
              <w:rPr>
                <w:sz w:val="16"/>
              </w:rPr>
              <w:t>6.1</w:t>
            </w:r>
          </w:p>
        </w:tc>
        <w:tc>
          <w:tcPr>
            <w:tcW w:type="dxa" w:w="1729"/>
            <w:tcMar/>
          </w:tcPr>
          <w:p>
            <w:pPr>
              <w:jc w:val="center"/>
            </w:pPr>
            <w:r>
              <w:rPr>
                <w:sz w:val="16"/>
              </w:rPr>
              <w:t>T2 limiter</w:t>
            </w:r>
          </w:p>
        </w:tc>
      </w:tr>
      <w:tr>
        <w:tc>
          <w:tcPr>
            <w:tcW w:type="dxa" w:w="1729"/>
            <w:tcMar/>
          </w:tcPr>
          <w:p>
            <w:pPr>
              <w:jc w:val="center"/>
            </w:pPr>
            <w:r>
              <w:rPr>
                <w:sz w:val="16"/>
              </w:rPr>
              <w:t>Charge noise dephasing</w:t>
            </w:r>
          </w:p>
        </w:tc>
        <w:tc>
          <w:tcPr>
            <w:tcW w:type="dxa" w:w="1729"/>
            <w:tcMar/>
          </w:tcPr>
          <w:p>
            <w:pPr>
              <w:jc w:val="center"/>
            </w:pPr>
            <w:r>
              <w:rPr>
                <w:sz w:val="16"/>
              </w:rPr>
              <w:t>1078.9 (T_phi)</w:t>
            </w:r>
          </w:p>
        </w:tc>
        <w:tc>
          <w:tcPr>
            <w:tcW w:type="dxa" w:w="1729"/>
            <w:tcMar/>
          </w:tcPr>
          <w:p>
            <w:pPr>
              <w:jc w:val="center"/>
            </w:pPr>
            <w:r>
              <w:rPr>
                <w:sz w:val="16"/>
              </w:rPr>
              <w:t>1.2</w:t>
            </w:r>
          </w:p>
        </w:tc>
        <w:tc>
          <w:tcPr>
            <w:tcW w:type="dxa" w:w="1729"/>
            <w:tcMar/>
          </w:tcPr>
          <w:p>
            <w:pPr>
              <w:jc w:val="center"/>
            </w:pPr>
            <w:r>
              <w:rPr>
                <w:sz w:val="16"/>
              </w:rPr>
              <w:t>T2 limiter</w:t>
            </w:r>
          </w:p>
        </w:tc>
      </w:tr>
    </w:tbl>
    <w:p>
      <w:pPr>
        <w:pStyle w:val="p1a"/>
      </w:pPr>
      <w:r>
        <w:t>The gate error budget analysis reveals that single-qubit gates are limited primarily by coherence (0.067% error), with smaller contributions from leakage (0.013%) and control errors (0.010%), yielding a total predicted error of 0.090%. Two-qubit CZ gates have a higher total error of 0.968%, dominated by coherence-limited error (0.667%), with significant contributions from flux noise dephasing (0.126%), leakage (0.122%), and residual ZZ interaction (0.053%). Figure 7 shows the noise budget breakdown visually.</w:t>
      </w:r>
    </w:p>
    <w:p>
      <w:pPr>
        <w:pStyle w:val="p1a"/>
        <w:jc w:val="center"/>
      </w:pPr>
      <w:r>
        <w:drawing>
          <wp:inline xmlns:a="http://schemas.openxmlformats.org/drawingml/2006/main" xmlns:pic="http://schemas.openxmlformats.org/drawingml/2006/picture">
            <wp:extent cx="4114800" cy="1855519"/>
            <wp:docPr id="6" name="Picture 6"/>
            <wp:cNvGraphicFramePr>
              <a:graphicFrameLocks noChangeAspect="1"/>
            </wp:cNvGraphicFramePr>
            <a:graphic>
              <a:graphicData uri="http://schemas.openxmlformats.org/drawingml/2006/picture">
                <pic:pic>
                  <pic:nvPicPr>
                    <pic:cNvPr id="0" name="fig7_noise_budget.png"/>
                    <pic:cNvPicPr/>
                  </pic:nvPicPr>
                  <pic:blipFill>
                    <a:blip r:embed="rId23"/>
                    <a:stretch>
                      <a:fillRect/>
                    </a:stretch>
                  </pic:blipFill>
                  <pic:spPr>
                    <a:xfrm>
                      <a:off x="0" y="0"/>
                      <a:ext cx="4114800" cy="1855519"/>
                    </a:xfrm>
                    <a:prstGeom prst="rect"/>
                  </pic:spPr>
                </pic:pic>
              </a:graphicData>
            </a:graphic>
          </wp:inline>
        </w:drawing>
      </w:r>
    </w:p>
    <w:p>
      <w:pPr>
        <w:pStyle w:val="figurecaption"/>
        <w:jc w:val="center"/>
      </w:pPr>
      <w:r>
        <w:t>Fig. 6. Noise budget decomposition showing relative contributions of each mechanism to T1 relaxation (left) and T2 decoherence (right). Dielectric loss and 1/f flux noise are the dominant limiters.</w:t>
      </w:r>
    </w:p>
    <w:p>
      <w:pPr>
        <w:pStyle w:val="p1a"/>
      </w:pPr>
      <w:r>
        <w:t>Analysis. The noise budget analysis provides several actionable insights. The discrepancy between measured T1 (45 us) and theoretical T1 (30 us) suggests that either some loss mechanisms are overestimated or there are compensating effects not captured by the model. The sensitivity analysis identifies that improving substrate cleanliness to reduce dielectric loss tangent could yield a 20% improvement in T1, while improving magnetic shielding to reduce flux noise amplitude could improve T2 by 30%. These recommendations are automatically incorporated into the design proposal generated by Module M8. The gate error budget reveals that two-qubit gate performance is the primary bottleneck, with coherence-limited error being the dominant contributor, consistent with the relatively modest T1 and T2 values. This analysis suggests that improving coherence times should be prioritized over gate calibration optimization for the next design iteration.</w:t>
      </w:r>
    </w:p>
    <w:p>
      <w:pPr>
        <w:pStyle w:val="heading2"/>
      </w:pPr>
      <w:r>
        <w:t>Experiment 3: Multi-Hypothesis Anomaly Diagnosis</w:t>
      </w:r>
    </w:p>
    <w:p>
      <w:pPr>
        <w:pStyle w:val="p1a"/>
      </w:pPr>
      <w:r>
        <w:t>Task. Diagnose the root causes of four common performance anomalies observed in superconducting quantum processors: elevated two-qubit gate error, T1 degradation, frequency drift, and high readout error.</w:t>
      </w:r>
    </w:p>
    <w:p>
      <w:pPr>
        <w:pStyle w:val="p1a"/>
      </w:pPr>
      <w:r>
        <w:t>Method. The Diagnostician agent invokes Module M4 for each anomaly type. The module applies Bayesian reasoning to generate ranked root cause hypotheses, each annotated with confidence scores, supporting evidence, contradicting evidence, and recommended verification experiments. The diagnosis integrates information from the Hamiltonian model, noise budget, and the specific observed metrics for each anomaly.</w:t>
      </w:r>
    </w:p>
    <w:p>
      <w:pPr>
        <w:pStyle w:val="p1a"/>
      </w:pPr>
      <w:r>
        <w:t>Results. Table 6 summarizes the diagnosis results for all four anomaly types. For elevated gate error (observed fidelity 98.5%), the top-ranked hypothesis is frequency collision near the CZ operating point (50% confidence), supported by evidence of avoided crossings in Chevron plots and elevated leakage measurements. The second-ranked hypothesis is flux bias line drift causing detuning fluctuations (35% confidence). For T1 degradation (observed T1 = 25 us, down from baseline), the primary hypothesis is surface dielectric loss degradation due to TLS activation (40% confidence), with Purcell enhancement (25%) and elevated quasiparticle concentration (20%) as alternatives.</w:t>
      </w:r>
    </w:p>
    <w:p>
      <w:pPr>
        <w:pStyle w:val="tablecaption"/>
        <w:jc w:val="center"/>
      </w:pPr>
      <w:r>
        <w:t>Table 6. Multi-hypothesis diagnosis results for four common anomaly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4"/>
        <w:gridCol w:w="1384"/>
        <w:gridCol w:w="1384"/>
        <w:gridCol w:w="1384"/>
        <w:gridCol w:w="1384"/>
      </w:tblGrid>
      <w:tr>
        <w:tc>
          <w:tcPr>
            <w:tcW w:type="dxa" w:w="1384"/>
            <w:tcMar/>
          </w:tcPr>
          <w:p>
            <w:pPr>
              <w:jc w:val="center"/>
            </w:pPr>
            <w:r>
              <w:rPr>
                <w:b/>
                <w:sz w:val="16"/>
              </w:rPr>
              <w:t>Anomaly</w:t>
            </w:r>
          </w:p>
        </w:tc>
        <w:tc>
          <w:tcPr>
            <w:tcW w:type="dxa" w:w="1384"/>
            <w:tcMar/>
          </w:tcPr>
          <w:p>
            <w:pPr>
              <w:jc w:val="center"/>
            </w:pPr>
            <w:r>
              <w:rPr>
                <w:b/>
                <w:sz w:val="16"/>
              </w:rPr>
              <w:t>Observed Metric</w:t>
            </w:r>
          </w:p>
        </w:tc>
        <w:tc>
          <w:tcPr>
            <w:tcW w:type="dxa" w:w="1384"/>
            <w:tcMar/>
          </w:tcPr>
          <w:p>
            <w:pPr>
              <w:jc w:val="center"/>
            </w:pPr>
            <w:r>
              <w:rPr>
                <w:b/>
                <w:sz w:val="16"/>
              </w:rPr>
              <w:t>Top Root Cause</w:t>
            </w:r>
          </w:p>
        </w:tc>
        <w:tc>
          <w:tcPr>
            <w:tcW w:type="dxa" w:w="1384"/>
            <w:tcMar/>
          </w:tcPr>
          <w:p>
            <w:pPr>
              <w:jc w:val="center"/>
            </w:pPr>
            <w:r>
              <w:rPr>
                <w:b/>
                <w:sz w:val="16"/>
              </w:rPr>
              <w:t>Confidence</w:t>
            </w:r>
          </w:p>
        </w:tc>
        <w:tc>
          <w:tcPr>
            <w:tcW w:type="dxa" w:w="1384"/>
            <w:tcMar/>
          </w:tcPr>
          <w:p>
            <w:pPr>
              <w:jc w:val="center"/>
            </w:pPr>
            <w:r>
              <w:rPr>
                <w:b/>
                <w:sz w:val="16"/>
              </w:rPr>
              <w:t>Verification Experiment</w:t>
            </w:r>
          </w:p>
        </w:tc>
      </w:tr>
      <w:tr>
        <w:tc>
          <w:tcPr>
            <w:tcW w:type="dxa" w:w="1384"/>
            <w:tcMar/>
          </w:tcPr>
          <w:p>
            <w:pPr>
              <w:jc w:val="center"/>
            </w:pPr>
            <w:r>
              <w:rPr>
                <w:sz w:val="16"/>
              </w:rPr>
              <w:t>Gate error (high)</w:t>
            </w:r>
          </w:p>
        </w:tc>
        <w:tc>
          <w:tcPr>
            <w:tcW w:type="dxa" w:w="1384"/>
            <w:tcMar/>
          </w:tcPr>
          <w:p>
            <w:pPr>
              <w:jc w:val="center"/>
            </w:pPr>
            <w:r>
              <w:rPr>
                <w:sz w:val="16"/>
              </w:rPr>
              <w:t>Fidelity 98.5%</w:t>
            </w:r>
          </w:p>
        </w:tc>
        <w:tc>
          <w:tcPr>
            <w:tcW w:type="dxa" w:w="1384"/>
            <w:tcMar/>
          </w:tcPr>
          <w:p>
            <w:pPr>
              <w:jc w:val="center"/>
            </w:pPr>
            <w:r>
              <w:rPr>
                <w:sz w:val="16"/>
              </w:rPr>
              <w:t>Frequency collision near CZ point</w:t>
            </w:r>
          </w:p>
        </w:tc>
        <w:tc>
          <w:tcPr>
            <w:tcW w:type="dxa" w:w="1384"/>
            <w:tcMar/>
          </w:tcPr>
          <w:p>
            <w:pPr>
              <w:jc w:val="center"/>
            </w:pPr>
            <w:r>
              <w:rPr>
                <w:sz w:val="16"/>
              </w:rPr>
              <w:t>50%</w:t>
            </w:r>
          </w:p>
        </w:tc>
        <w:tc>
          <w:tcPr>
            <w:tcW w:type="dxa" w:w="1384"/>
            <w:tcMar/>
          </w:tcPr>
          <w:p>
            <w:pPr>
              <w:jc w:val="center"/>
            </w:pPr>
            <w:r>
              <w:rPr>
                <w:sz w:val="16"/>
              </w:rPr>
              <w:t>High-res Chevron scan + leakage measurement</w:t>
            </w:r>
          </w:p>
        </w:tc>
      </w:tr>
      <w:tr>
        <w:tc>
          <w:tcPr>
            <w:tcW w:type="dxa" w:w="1384"/>
            <w:tcMar/>
          </w:tcPr>
          <w:p>
            <w:pPr>
              <w:jc w:val="center"/>
            </w:pPr>
            <w:r>
              <w:rPr>
                <w:sz w:val="16"/>
              </w:rPr>
              <w:t>T1 degradation</w:t>
            </w:r>
          </w:p>
        </w:tc>
        <w:tc>
          <w:tcPr>
            <w:tcW w:type="dxa" w:w="1384"/>
            <w:tcMar/>
          </w:tcPr>
          <w:p>
            <w:pPr>
              <w:jc w:val="center"/>
            </w:pPr>
            <w:r>
              <w:rPr>
                <w:sz w:val="16"/>
              </w:rPr>
              <w:t>T1 = 25 us</w:t>
            </w:r>
          </w:p>
        </w:tc>
        <w:tc>
          <w:tcPr>
            <w:tcW w:type="dxa" w:w="1384"/>
            <w:tcMar/>
          </w:tcPr>
          <w:p>
            <w:pPr>
              <w:jc w:val="center"/>
            </w:pPr>
            <w:r>
              <w:rPr>
                <w:sz w:val="16"/>
              </w:rPr>
              <w:t>Surface dielectric loss (TLS activation)</w:t>
            </w:r>
          </w:p>
        </w:tc>
        <w:tc>
          <w:tcPr>
            <w:tcW w:type="dxa" w:w="1384"/>
            <w:tcMar/>
          </w:tcPr>
          <w:p>
            <w:pPr>
              <w:jc w:val="center"/>
            </w:pPr>
            <w:r>
              <w:rPr>
                <w:sz w:val="16"/>
              </w:rPr>
              <w:t>40%</w:t>
            </w:r>
          </w:p>
        </w:tc>
        <w:tc>
          <w:tcPr>
            <w:tcW w:type="dxa" w:w="1384"/>
            <w:tcMar/>
          </w:tcPr>
          <w:p>
            <w:pPr>
              <w:jc w:val="center"/>
            </w:pPr>
            <w:r>
              <w:rPr>
                <w:sz w:val="16"/>
              </w:rPr>
              <w:t>T1 vs frequency scan + power-dependent T1</w:t>
            </w:r>
          </w:p>
        </w:tc>
      </w:tr>
      <w:tr>
        <w:tc>
          <w:tcPr>
            <w:tcW w:type="dxa" w:w="1384"/>
            <w:tcMar/>
          </w:tcPr>
          <w:p>
            <w:pPr>
              <w:jc w:val="center"/>
            </w:pPr>
            <w:r>
              <w:rPr>
                <w:sz w:val="16"/>
              </w:rPr>
              <w:t>Frequency drift</w:t>
            </w:r>
          </w:p>
        </w:tc>
        <w:tc>
          <w:tcPr>
            <w:tcW w:type="dxa" w:w="1384"/>
            <w:tcMar/>
          </w:tcPr>
          <w:p>
            <w:pPr>
              <w:jc w:val="center"/>
            </w:pPr>
            <w:r>
              <w:rPr>
                <w:sz w:val="16"/>
              </w:rPr>
              <w:t>0.5 MHz/hour</w:t>
            </w:r>
          </w:p>
        </w:tc>
        <w:tc>
          <w:tcPr>
            <w:tcW w:type="dxa" w:w="1384"/>
            <w:tcMar/>
          </w:tcPr>
          <w:p>
            <w:pPr>
              <w:jc w:val="center"/>
            </w:pPr>
            <w:r>
              <w:rPr>
                <w:sz w:val="16"/>
              </w:rPr>
              <w:t>1/f flux noise (surface magnetic defects)</w:t>
            </w:r>
          </w:p>
        </w:tc>
        <w:tc>
          <w:tcPr>
            <w:tcW w:type="dxa" w:w="1384"/>
            <w:tcMar/>
          </w:tcPr>
          <w:p>
            <w:pPr>
              <w:jc w:val="center"/>
            </w:pPr>
            <w:r>
              <w:rPr>
                <w:sz w:val="16"/>
              </w:rPr>
              <w:t>50%</w:t>
            </w:r>
          </w:p>
        </w:tc>
        <w:tc>
          <w:tcPr>
            <w:tcW w:type="dxa" w:w="1384"/>
            <w:tcMar/>
          </w:tcPr>
          <w:p>
            <w:pPr>
              <w:jc w:val="center"/>
            </w:pPr>
            <w:r>
              <w:rPr>
                <w:sz w:val="16"/>
              </w:rPr>
              <w:t>CPMG noise spectroscopy + magnetic shielding test</w:t>
            </w:r>
          </w:p>
        </w:tc>
      </w:tr>
      <w:tr>
        <w:tc>
          <w:tcPr>
            <w:tcW w:type="dxa" w:w="1384"/>
            <w:tcMar/>
          </w:tcPr>
          <w:p>
            <w:pPr>
              <w:jc w:val="center"/>
            </w:pPr>
            <w:r>
              <w:rPr>
                <w:sz w:val="16"/>
              </w:rPr>
              <w:t>Readout error</w:t>
            </w:r>
          </w:p>
        </w:tc>
        <w:tc>
          <w:tcPr>
            <w:tcW w:type="dxa" w:w="1384"/>
            <w:tcMar/>
          </w:tcPr>
          <w:p>
            <w:pPr>
              <w:jc w:val="center"/>
            </w:pPr>
            <w:r>
              <w:rPr>
                <w:sz w:val="16"/>
              </w:rPr>
              <w:t>Fidelity 96.5%</w:t>
            </w:r>
          </w:p>
        </w:tc>
        <w:tc>
          <w:tcPr>
            <w:tcW w:type="dxa" w:w="1384"/>
            <w:tcMar/>
          </w:tcPr>
          <w:p>
            <w:pPr>
              <w:jc w:val="center"/>
            </w:pPr>
            <w:r>
              <w:rPr>
                <w:sz w:val="16"/>
              </w:rPr>
              <w:t>Non-optimal readout power/frequency</w:t>
            </w:r>
          </w:p>
        </w:tc>
        <w:tc>
          <w:tcPr>
            <w:tcW w:type="dxa" w:w="1384"/>
            <w:tcMar/>
          </w:tcPr>
          <w:p>
            <w:pPr>
              <w:jc w:val="center"/>
            </w:pPr>
            <w:r>
              <w:rPr>
                <w:sz w:val="16"/>
              </w:rPr>
              <w:t>35%</w:t>
            </w:r>
          </w:p>
        </w:tc>
        <w:tc>
          <w:tcPr>
            <w:tcW w:type="dxa" w:w="1384"/>
            <w:tcMar/>
          </w:tcPr>
          <w:p>
            <w:pPr>
              <w:jc w:val="center"/>
            </w:pPr>
            <w:r>
              <w:rPr>
                <w:sz w:val="16"/>
              </w:rPr>
              <w:t>Readout power + frequency 2D sweep</w:t>
            </w:r>
          </w:p>
        </w:tc>
      </w:tr>
    </w:tbl>
    <w:p>
      <w:pPr>
        <w:pStyle w:val="p1a"/>
      </w:pPr>
      <w:r>
        <w:t>For frequency drift (0.5 MHz/hour), the diagnosis identifies 1/f flux noise from surface magnetic defects as the primary cause (50% confidence), with slow TLS switching (25%) and bias source instability (15%) as alternatives. For high readout error (fidelity 96.5%), non-optimal readout power and frequency is the top hypothesis (35% confidence), followed by residual thermal excitation (30%) and amplification chain noise (20%). Each diagnosis includes a structured verification path that minimizes the number of experiments needed to disambiguate between hypotheses. The system also generates repair priority lists with three tiers: short-term (control parameter adjustment, low effort, medium gain), medium-term (coupler and readout chain optimization, medium effort, high gain), and long-term (chip redesign, high effort, high gain).</w:t>
      </w:r>
    </w:p>
    <w:p>
      <w:pPr>
        <w:pStyle w:val="p1a"/>
      </w:pPr>
      <w:r>
        <w:t>Analysis. The diagnosis framework demonstrates the value of structured reasoning about quantum hardware failures. By generating ranked hypotheses with explicit confidence scores and supporting evidence, AetherQ provides the experimentalist with a clear roadmap for investigation, rather than the ad hoc troubleshooting approach that is common in current practice. The verification experiments are designed to be maximally discriminative, targeting the specific predictions that distinguish between competing hypotheses. This approach can significantly reduce the time required to identify and resolve performance issues, which is often the most time-consuming phase of the quantum chip development cycle.</w:t>
      </w:r>
    </w:p>
    <w:p>
      <w:pPr>
        <w:pStyle w:val="heading2"/>
      </w:pPr>
      <w:r>
        <w:t>Experiment 4: Adaptive Experiment Planning</w:t>
      </w:r>
    </w:p>
    <w:p>
      <w:pPr>
        <w:pStyle w:val="p1a"/>
      </w:pPr>
      <w:r>
        <w:t>Task. Generate optimal experiment plans for three objectives: identifying dominant noise mechanisms, diagnosing gate errors, and optimizing readout performance, each under specified time budget constraints.</w:t>
      </w:r>
    </w:p>
    <w:p>
      <w:pPr>
        <w:pStyle w:val="p1a"/>
      </w:pPr>
      <w:r>
        <w:t>Method. The Experimentalist agent invokes Module M5 for each planning objective. The module considers the available experiment types, their expected information gain, duration requirements, and dependencies. Plans are generated with adaptive policies that allow early termination when sufficient confidence is achieved and dynamic re-prioritization based on intermediate results.</w:t>
      </w:r>
    </w:p>
    <w:p>
      <w:pPr>
        <w:pStyle w:val="p1a"/>
      </w:pPr>
      <w:r>
        <w:t>Results. Table 7 summarizes the three generated experiment plans. The noise identification plan (8-hour budget) schedules five experiments totaling 5.3 hours: T1 vs frequency sweep (60 min, highest priority for discriminating Purcell from dielectric loss), T2 Ramsey vs Echo comparison (30 min, separating low-frequency noise contributions), CPMG noise spectroscopy (90 min, extracting noise power spectral density), temperature-dependent T1 measurement (120 min, distinguishing quasiparticle from thermal photon contributions), and thermal excitation measurement (20 min, directly assessing effective temperature).</w:t>
      </w:r>
    </w:p>
    <w:p>
      <w:pPr>
        <w:pStyle w:val="tablecaption"/>
        <w:jc w:val="center"/>
      </w:pPr>
      <w:r>
        <w:t>Table 7. Summary of the three adaptive experiment plans generated by AetherQ.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53"/>
        <w:gridCol w:w="1153"/>
        <w:gridCol w:w="1153"/>
        <w:gridCol w:w="1153"/>
        <w:gridCol w:w="1153"/>
        <w:gridCol w:w="1153"/>
      </w:tblGrid>
      <w:tr>
        <w:tc>
          <w:tcPr>
            <w:tcW w:type="dxa" w:w="1153"/>
            <w:tcMar/>
          </w:tcPr>
          <w:p>
            <w:pPr>
              <w:jc w:val="center"/>
            </w:pPr>
            <w:r>
              <w:rPr>
                <w:b/>
                <w:sz w:val="16"/>
              </w:rPr>
              <w:t>Plan</w:t>
            </w:r>
          </w:p>
        </w:tc>
        <w:tc>
          <w:tcPr>
            <w:tcW w:type="dxa" w:w="1153"/>
            <w:tcMar/>
          </w:tcPr>
          <w:p>
            <w:pPr>
              <w:jc w:val="center"/>
            </w:pPr>
            <w:r>
              <w:rPr>
                <w:b/>
                <w:sz w:val="16"/>
              </w:rPr>
              <w:t>Objective</w:t>
            </w:r>
          </w:p>
        </w:tc>
        <w:tc>
          <w:tcPr>
            <w:tcW w:type="dxa" w:w="1153"/>
            <w:tcMar/>
          </w:tcPr>
          <w:p>
            <w:pPr>
              <w:jc w:val="center"/>
            </w:pPr>
            <w:r>
              <w:rPr>
                <w:b/>
                <w:sz w:val="16"/>
              </w:rPr>
              <w:t>Budget (h)</w:t>
            </w:r>
          </w:p>
        </w:tc>
        <w:tc>
          <w:tcPr>
            <w:tcW w:type="dxa" w:w="1153"/>
            <w:tcMar/>
          </w:tcPr>
          <w:p>
            <w:pPr>
              <w:jc w:val="center"/>
            </w:pPr>
            <w:r>
              <w:rPr>
                <w:b/>
                <w:sz w:val="16"/>
              </w:rPr>
              <w:t>Experiments</w:t>
            </w:r>
          </w:p>
        </w:tc>
        <w:tc>
          <w:tcPr>
            <w:tcW w:type="dxa" w:w="1153"/>
            <w:tcMar/>
          </w:tcPr>
          <w:p>
            <w:pPr>
              <w:jc w:val="center"/>
            </w:pPr>
            <w:r>
              <w:rPr>
                <w:b/>
                <w:sz w:val="16"/>
              </w:rPr>
              <w:t>Total Duration (h)</w:t>
            </w:r>
          </w:p>
        </w:tc>
        <w:tc>
          <w:tcPr>
            <w:tcW w:type="dxa" w:w="1153"/>
            <w:tcMar/>
          </w:tcPr>
          <w:p>
            <w:pPr>
              <w:jc w:val="center"/>
            </w:pPr>
            <w:r>
              <w:rPr>
                <w:b/>
                <w:sz w:val="16"/>
              </w:rPr>
              <w:t>Stopping Criterion</w:t>
            </w:r>
          </w:p>
        </w:tc>
      </w:tr>
      <w:tr>
        <w:tc>
          <w:tcPr>
            <w:tcW w:type="dxa" w:w="1153"/>
            <w:tcMar/>
          </w:tcPr>
          <w:p>
            <w:pPr>
              <w:jc w:val="center"/>
            </w:pPr>
            <w:r>
              <w:rPr>
                <w:sz w:val="16"/>
              </w:rPr>
              <w:t>Noise ID</w:t>
            </w:r>
          </w:p>
        </w:tc>
        <w:tc>
          <w:tcPr>
            <w:tcW w:type="dxa" w:w="1153"/>
            <w:tcMar/>
          </w:tcPr>
          <w:p>
            <w:pPr>
              <w:jc w:val="center"/>
            </w:pPr>
            <w:r>
              <w:rPr>
                <w:sz w:val="16"/>
              </w:rPr>
              <w:t>Identify dominant noise</w:t>
            </w:r>
          </w:p>
        </w:tc>
        <w:tc>
          <w:tcPr>
            <w:tcW w:type="dxa" w:w="1153"/>
            <w:tcMar/>
          </w:tcPr>
          <w:p>
            <w:pPr>
              <w:jc w:val="center"/>
            </w:pPr>
            <w:r>
              <w:rPr>
                <w:sz w:val="16"/>
              </w:rPr>
              <w:t>8.0</w:t>
            </w:r>
          </w:p>
        </w:tc>
        <w:tc>
          <w:tcPr>
            <w:tcW w:type="dxa" w:w="1153"/>
            <w:tcMar/>
          </w:tcPr>
          <w:p>
            <w:pPr>
              <w:jc w:val="center"/>
            </w:pPr>
            <w:r>
              <w:rPr>
                <w:sz w:val="16"/>
              </w:rPr>
              <w:t>5</w:t>
            </w:r>
          </w:p>
        </w:tc>
        <w:tc>
          <w:tcPr>
            <w:tcW w:type="dxa" w:w="1153"/>
            <w:tcMar/>
          </w:tcPr>
          <w:p>
            <w:pPr>
              <w:jc w:val="center"/>
            </w:pPr>
            <w:r>
              <w:rPr>
                <w:sz w:val="16"/>
              </w:rPr>
              <w:t>5.3</w:t>
            </w:r>
          </w:p>
        </w:tc>
        <w:tc>
          <w:tcPr>
            <w:tcW w:type="dxa" w:w="1153"/>
            <w:tcMar/>
          </w:tcPr>
          <w:p>
            <w:pPr>
              <w:jc w:val="center"/>
            </w:pPr>
            <w:r>
              <w:rPr>
                <w:sz w:val="16"/>
              </w:rPr>
              <w:t>Top-1 confidence &gt; 0.8</w:t>
            </w:r>
          </w:p>
        </w:tc>
      </w:tr>
      <w:tr>
        <w:tc>
          <w:tcPr>
            <w:tcW w:type="dxa" w:w="1153"/>
            <w:tcMar/>
          </w:tcPr>
          <w:p>
            <w:pPr>
              <w:jc w:val="center"/>
            </w:pPr>
            <w:r>
              <w:rPr>
                <w:sz w:val="16"/>
              </w:rPr>
              <w:t>Gate Diag.</w:t>
            </w:r>
          </w:p>
        </w:tc>
        <w:tc>
          <w:tcPr>
            <w:tcW w:type="dxa" w:w="1153"/>
            <w:tcMar/>
          </w:tcPr>
          <w:p>
            <w:pPr>
              <w:jc w:val="center"/>
            </w:pPr>
            <w:r>
              <w:rPr>
                <w:sz w:val="16"/>
              </w:rPr>
              <w:t>Gate error diagnosis</w:t>
            </w:r>
          </w:p>
        </w:tc>
        <w:tc>
          <w:tcPr>
            <w:tcW w:type="dxa" w:w="1153"/>
            <w:tcMar/>
          </w:tcPr>
          <w:p>
            <w:pPr>
              <w:jc w:val="center"/>
            </w:pPr>
            <w:r>
              <w:rPr>
                <w:sz w:val="16"/>
              </w:rPr>
              <w:t>6.0</w:t>
            </w:r>
          </w:p>
        </w:tc>
        <w:tc>
          <w:tcPr>
            <w:tcW w:type="dxa" w:w="1153"/>
            <w:tcMar/>
          </w:tcPr>
          <w:p>
            <w:pPr>
              <w:jc w:val="center"/>
            </w:pPr>
            <w:r>
              <w:rPr>
                <w:sz w:val="16"/>
              </w:rPr>
              <w:t>5</w:t>
            </w:r>
          </w:p>
        </w:tc>
        <w:tc>
          <w:tcPr>
            <w:tcW w:type="dxa" w:w="1153"/>
            <w:tcMar/>
          </w:tcPr>
          <w:p>
            <w:pPr>
              <w:jc w:val="center"/>
            </w:pPr>
            <w:r>
              <w:rPr>
                <w:sz w:val="16"/>
              </w:rPr>
              <w:t>5.8</w:t>
            </w:r>
          </w:p>
        </w:tc>
        <w:tc>
          <w:tcPr>
            <w:tcW w:type="dxa" w:w="1153"/>
            <w:tcMar/>
          </w:tcPr>
          <w:p>
            <w:pPr>
              <w:jc w:val="center"/>
            </w:pPr>
            <w:r>
              <w:rPr>
                <w:sz w:val="16"/>
              </w:rPr>
              <w:t>Top-1 confidence &gt; 0.8</w:t>
            </w:r>
          </w:p>
        </w:tc>
      </w:tr>
      <w:tr>
        <w:tc>
          <w:tcPr>
            <w:tcW w:type="dxa" w:w="1153"/>
            <w:tcMar/>
          </w:tcPr>
          <w:p>
            <w:pPr>
              <w:jc w:val="center"/>
            </w:pPr>
            <w:r>
              <w:rPr>
                <w:sz w:val="16"/>
              </w:rPr>
              <w:t>Readout Opt.</w:t>
            </w:r>
          </w:p>
        </w:tc>
        <w:tc>
          <w:tcPr>
            <w:tcW w:type="dxa" w:w="1153"/>
            <w:tcMar/>
          </w:tcPr>
          <w:p>
            <w:pPr>
              <w:jc w:val="center"/>
            </w:pPr>
            <w:r>
              <w:rPr>
                <w:sz w:val="16"/>
              </w:rPr>
              <w:t>Readout optimization</w:t>
            </w:r>
          </w:p>
        </w:tc>
        <w:tc>
          <w:tcPr>
            <w:tcW w:type="dxa" w:w="1153"/>
            <w:tcMar/>
          </w:tcPr>
          <w:p>
            <w:pPr>
              <w:jc w:val="center"/>
            </w:pPr>
            <w:r>
              <w:rPr>
                <w:sz w:val="16"/>
              </w:rPr>
              <w:t>3.0</w:t>
            </w:r>
          </w:p>
        </w:tc>
        <w:tc>
          <w:tcPr>
            <w:tcW w:type="dxa" w:w="1153"/>
            <w:tcMar/>
          </w:tcPr>
          <w:p>
            <w:pPr>
              <w:jc w:val="center"/>
            </w:pPr>
            <w:r>
              <w:rPr>
                <w:sz w:val="16"/>
              </w:rPr>
              <w:t>3</w:t>
            </w:r>
          </w:p>
        </w:tc>
        <w:tc>
          <w:tcPr>
            <w:tcW w:type="dxa" w:w="1153"/>
            <w:tcMar/>
          </w:tcPr>
          <w:p>
            <w:pPr>
              <w:jc w:val="center"/>
            </w:pPr>
            <w:r>
              <w:rPr>
                <w:sz w:val="16"/>
              </w:rPr>
              <w:t>1.8</w:t>
            </w:r>
          </w:p>
        </w:tc>
        <w:tc>
          <w:tcPr>
            <w:tcW w:type="dxa" w:w="1153"/>
            <w:tcMar/>
          </w:tcPr>
          <w:p>
            <w:pPr>
              <w:jc w:val="center"/>
            </w:pPr>
            <w:r>
              <w:rPr>
                <w:sz w:val="16"/>
              </w:rPr>
              <w:t>Top-1 confidence &gt; 0.8</w:t>
            </w:r>
          </w:p>
        </w:tc>
      </w:tr>
    </w:tbl>
    <w:p>
      <w:pPr>
        <w:pStyle w:val="p1a"/>
      </w:pPr>
      <w:r>
        <w:t>The gate error diagnosis plan (6-hour budget) includes interleaved randomized benchmarking (45 min), gate set tomography (180 min), high-resolution Chevron scanning (60 min), ZZ interaction measurement (30 min), and DRAG parameter optimization (30 min). The readout optimization plan (3-hour budget) is more compact, with readout power sweep and IQ analysis (30 min), readout frequency fine scan (30 min), and QND measurement test (45 min). All plans include the adaptive policy of updating posterior probabilities after each experiment and terminating early if the top hypothesis confidence exceeds 0.85.</w:t>
      </w:r>
    </w:p>
    <w:p>
      <w:pPr>
        <w:pStyle w:val="p1a"/>
      </w:pPr>
      <w:r>
        <w:t>Analysis. The experiment plans demonstrate AetherQ's ability to balance information gain against resource constraints. The noise identification plan allocates the most time to temperature-dependent measurements, which are slow but highly informative, while front-loading faster discriminative experiments. The gate diagnosis plan prioritizes the comprehensive but time-consuming gate set tomography, reflecting its high information content. The adaptive stopping criteria ensure that budget is not wasted on additional experiments once sufficient diagnostic confidence is achieved. Compared to a naive approach of running all possible experiments sequentially, AetherQ's prioritized plans can reduce total characterization time by an estimated 40-60% while maintaining diagnostic accuracy.</w:t>
      </w:r>
    </w:p>
    <w:p>
      <w:pPr>
        <w:pStyle w:val="heading2"/>
      </w:pPr>
      <w:r>
        <w:t>Experiment 5: Full-Stack Electromagnetic Simulation</w:t>
      </w:r>
    </w:p>
    <w:p>
      <w:pPr>
        <w:pStyle w:val="p1a"/>
      </w:pPr>
      <w:r>
        <w:t>Task. Perform a comprehensive electromagnetic simulation of five representative qubits (Q1-Q5) from the 20-qubit chip, including Q3D capacitance extraction, lumped oscillator modeling, energy participation ratio analysis, and eigenmode solving.</w:t>
      </w:r>
    </w:p>
    <w:p>
      <w:pPr>
        <w:pStyle w:val="p1a"/>
      </w:pPr>
      <w:r>
        <w:t>Method. The Simulation Engineer agent invokes Module M6, which orchestrates four simulation stages for each qubit. The Q3D stage extracts the self-capacitance and coupling capacitance matrices. The LOM stage converts capacitance values into circuit parameters (EC, EJ, frequency). The EPR stage computes the junction participation ratio, which determines the qubit-mode coupling strength and the T1 limit from dielectric loss. The eigenmode stage solves for the dressed mode frequencies and quality factors. Figure 8 compares the simulation results across the five qubits.</w:t>
      </w:r>
    </w:p>
    <w:p>
      <w:pPr>
        <w:pStyle w:val="p1a"/>
        <w:jc w:val="center"/>
      </w:pPr>
      <w:r>
        <w:drawing>
          <wp:inline xmlns:a="http://schemas.openxmlformats.org/drawingml/2006/main" xmlns:pic="http://schemas.openxmlformats.org/drawingml/2006/picture">
            <wp:extent cx="4114800" cy="1739735"/>
            <wp:docPr id="7" name="Picture 7"/>
            <wp:cNvGraphicFramePr>
              <a:graphicFrameLocks noChangeAspect="1"/>
            </wp:cNvGraphicFramePr>
            <a:graphic>
              <a:graphicData uri="http://schemas.openxmlformats.org/drawingml/2006/picture">
                <pic:pic>
                  <pic:nvPicPr>
                    <pic:cNvPr id="0" name="fig8_freq_comparison.png"/>
                    <pic:cNvPicPr/>
                  </pic:nvPicPr>
                  <pic:blipFill>
                    <a:blip r:embed="rId24"/>
                    <a:stretch>
                      <a:fillRect/>
                    </a:stretch>
                  </pic:blipFill>
                  <pic:spPr>
                    <a:xfrm>
                      <a:off x="0" y="0"/>
                      <a:ext cx="4114800" cy="1739735"/>
                    </a:xfrm>
                    <a:prstGeom prst="rect"/>
                  </pic:spPr>
                </pic:pic>
              </a:graphicData>
            </a:graphic>
          </wp:inline>
        </w:drawing>
      </w:r>
    </w:p>
    <w:p>
      <w:pPr>
        <w:pStyle w:val="figurecaption"/>
        <w:jc w:val="center"/>
      </w:pPr>
      <w:r>
        <w:t>Fig. 7. Comparison of eigenmode frequencies and Q-factors for qubits Q1-Q5. The frequency variation reflects the designed non-uniform distribution, while Q-factor variations indicate geometry-dependent loss mechanisms.</w:t>
      </w:r>
    </w:p>
    <w:p>
      <w:pPr>
        <w:pStyle w:val="tablecaption"/>
        <w:jc w:val="center"/>
      </w:pPr>
      <w:r>
        <w:t>Table 8. Full-stack electromagnetic simulation results for qubits Q1-Q5.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88"/>
        <w:gridCol w:w="988"/>
        <w:gridCol w:w="988"/>
        <w:gridCol w:w="988"/>
        <w:gridCol w:w="988"/>
        <w:gridCol w:w="988"/>
        <w:gridCol w:w="988"/>
      </w:tblGrid>
      <w:tr>
        <w:tc>
          <w:tcPr>
            <w:tcW w:type="dxa" w:w="988"/>
            <w:tcMar/>
          </w:tcPr>
          <w:p>
            <w:pPr>
              <w:jc w:val="center"/>
            </w:pPr>
            <w:r>
              <w:rPr>
                <w:b/>
                <w:sz w:val="16"/>
              </w:rPr>
              <w:t>Qubit</w:t>
            </w:r>
          </w:p>
        </w:tc>
        <w:tc>
          <w:tcPr>
            <w:tcW w:type="dxa" w:w="988"/>
            <w:tcMar/>
          </w:tcPr>
          <w:p>
            <w:pPr>
              <w:jc w:val="center"/>
            </w:pPr>
            <w:r>
              <w:rPr>
                <w:b/>
                <w:sz w:val="16"/>
              </w:rPr>
              <w:t>C_self (fF)</w:t>
            </w:r>
          </w:p>
        </w:tc>
        <w:tc>
          <w:tcPr>
            <w:tcW w:type="dxa" w:w="988"/>
            <w:tcMar/>
          </w:tcPr>
          <w:p>
            <w:pPr>
              <w:jc w:val="center"/>
            </w:pPr>
            <w:r>
              <w:rPr>
                <w:b/>
                <w:sz w:val="16"/>
              </w:rPr>
              <w:t>g_nearest (MHz)</w:t>
            </w:r>
          </w:p>
        </w:tc>
        <w:tc>
          <w:tcPr>
            <w:tcW w:type="dxa" w:w="988"/>
            <w:tcMar/>
          </w:tcPr>
          <w:p>
            <w:pPr>
              <w:jc w:val="center"/>
            </w:pPr>
            <w:r>
              <w:rPr>
                <w:b/>
                <w:sz w:val="16"/>
              </w:rPr>
              <w:t>p_junction</w:t>
            </w:r>
          </w:p>
        </w:tc>
        <w:tc>
          <w:tcPr>
            <w:tcW w:type="dxa" w:w="988"/>
            <w:tcMar/>
          </w:tcPr>
          <w:p>
            <w:pPr>
              <w:jc w:val="center"/>
            </w:pPr>
            <w:r>
              <w:rPr>
                <w:b/>
                <w:sz w:val="16"/>
              </w:rPr>
              <w:t>T1_diel (us)</w:t>
            </w:r>
          </w:p>
        </w:tc>
        <w:tc>
          <w:tcPr>
            <w:tcW w:type="dxa" w:w="988"/>
            <w:tcMar/>
          </w:tcPr>
          <w:p>
            <w:pPr>
              <w:jc w:val="center"/>
            </w:pPr>
            <w:r>
              <w:rPr>
                <w:b/>
                <w:sz w:val="16"/>
              </w:rPr>
              <w:t>f_eigen (GHz)</w:t>
            </w:r>
          </w:p>
        </w:tc>
        <w:tc>
          <w:tcPr>
            <w:tcW w:type="dxa" w:w="988"/>
            <w:tcMar/>
          </w:tcPr>
          <w:p>
            <w:pPr>
              <w:jc w:val="center"/>
            </w:pPr>
            <w:r>
              <w:rPr>
                <w:b/>
                <w:sz w:val="16"/>
              </w:rPr>
              <w:t>Q-factor</w:t>
            </w:r>
          </w:p>
        </w:tc>
      </w:tr>
      <w:tr>
        <w:tc>
          <w:tcPr>
            <w:tcW w:type="dxa" w:w="988"/>
            <w:tcMar/>
          </w:tcPr>
          <w:p>
            <w:pPr>
              <w:jc w:val="center"/>
            </w:pPr>
            <w:r>
              <w:rPr>
                <w:sz w:val="16"/>
              </w:rPr>
              <w:t>Q1</w:t>
            </w:r>
          </w:p>
        </w:tc>
        <w:tc>
          <w:tcPr>
            <w:tcW w:type="dxa" w:w="988"/>
            <w:tcMar/>
          </w:tcPr>
          <w:p>
            <w:pPr>
              <w:jc w:val="center"/>
            </w:pPr>
            <w:r>
              <w:rPr>
                <w:sz w:val="16"/>
              </w:rPr>
              <w:t>56.80</w:t>
            </w:r>
          </w:p>
        </w:tc>
        <w:tc>
          <w:tcPr>
            <w:tcW w:type="dxa" w:w="988"/>
            <w:tcMar/>
          </w:tcPr>
          <w:p>
            <w:pPr>
              <w:jc w:val="center"/>
            </w:pPr>
            <w:r>
              <w:rPr>
                <w:sz w:val="16"/>
              </w:rPr>
              <w:t>4.27</w:t>
            </w:r>
          </w:p>
        </w:tc>
        <w:tc>
          <w:tcPr>
            <w:tcW w:type="dxa" w:w="988"/>
            <w:tcMar/>
          </w:tcPr>
          <w:p>
            <w:pPr>
              <w:jc w:val="center"/>
            </w:pPr>
            <w:r>
              <w:rPr>
                <w:sz w:val="16"/>
              </w:rPr>
              <w:t>0.9276</w:t>
            </w:r>
          </w:p>
        </w:tc>
        <w:tc>
          <w:tcPr>
            <w:tcW w:type="dxa" w:w="988"/>
            <w:tcMar/>
          </w:tcPr>
          <w:p>
            <w:pPr>
              <w:jc w:val="center"/>
            </w:pPr>
            <w:r>
              <w:rPr>
                <w:sz w:val="16"/>
              </w:rPr>
              <w:t>150.0</w:t>
            </w:r>
          </w:p>
        </w:tc>
        <w:tc>
          <w:tcPr>
            <w:tcW w:type="dxa" w:w="988"/>
            <w:tcMar/>
          </w:tcPr>
          <w:p>
            <w:pPr>
              <w:jc w:val="center"/>
            </w:pPr>
            <w:r>
              <w:rPr>
                <w:sz w:val="16"/>
              </w:rPr>
              <w:t>5.1991</w:t>
            </w:r>
          </w:p>
        </w:tc>
        <w:tc>
          <w:tcPr>
            <w:tcW w:type="dxa" w:w="988"/>
            <w:tcMar/>
          </w:tcPr>
          <w:p>
            <w:pPr>
              <w:jc w:val="center"/>
            </w:pPr>
            <w:r>
              <w:rPr>
                <w:sz w:val="16"/>
              </w:rPr>
              <w:t>44907</w:t>
            </w:r>
          </w:p>
        </w:tc>
      </w:tr>
      <w:tr>
        <w:tc>
          <w:tcPr>
            <w:tcW w:type="dxa" w:w="988"/>
            <w:tcMar/>
          </w:tcPr>
          <w:p>
            <w:pPr>
              <w:jc w:val="center"/>
            </w:pPr>
            <w:r>
              <w:rPr>
                <w:sz w:val="16"/>
              </w:rPr>
              <w:t>Q2</w:t>
            </w:r>
          </w:p>
        </w:tc>
        <w:tc>
          <w:tcPr>
            <w:tcW w:type="dxa" w:w="988"/>
            <w:tcMar/>
          </w:tcPr>
          <w:p>
            <w:pPr>
              <w:jc w:val="center"/>
            </w:pPr>
            <w:r>
              <w:rPr>
                <w:sz w:val="16"/>
              </w:rPr>
              <w:t>60.11</w:t>
            </w:r>
          </w:p>
        </w:tc>
        <w:tc>
          <w:tcPr>
            <w:tcW w:type="dxa" w:w="988"/>
            <w:tcMar/>
          </w:tcPr>
          <w:p>
            <w:pPr>
              <w:jc w:val="center"/>
            </w:pPr>
            <w:r>
              <w:rPr>
                <w:sz w:val="16"/>
              </w:rPr>
              <w:t>1.72</w:t>
            </w:r>
          </w:p>
        </w:tc>
        <w:tc>
          <w:tcPr>
            <w:tcW w:type="dxa" w:w="988"/>
            <w:tcMar/>
          </w:tcPr>
          <w:p>
            <w:pPr>
              <w:jc w:val="center"/>
            </w:pPr>
            <w:r>
              <w:rPr>
                <w:sz w:val="16"/>
              </w:rPr>
              <w:t>0.9337</w:t>
            </w:r>
          </w:p>
        </w:tc>
        <w:tc>
          <w:tcPr>
            <w:tcW w:type="dxa" w:w="988"/>
            <w:tcMar/>
          </w:tcPr>
          <w:p>
            <w:pPr>
              <w:jc w:val="center"/>
            </w:pPr>
            <w:r>
              <w:rPr>
                <w:sz w:val="16"/>
              </w:rPr>
              <w:t>174.5</w:t>
            </w:r>
          </w:p>
        </w:tc>
        <w:tc>
          <w:tcPr>
            <w:tcW w:type="dxa" w:w="988"/>
            <w:tcMar/>
          </w:tcPr>
          <w:p>
            <w:pPr>
              <w:jc w:val="center"/>
            </w:pPr>
            <w:r>
              <w:rPr>
                <w:sz w:val="16"/>
              </w:rPr>
              <w:t>4.6401</w:t>
            </w:r>
          </w:p>
        </w:tc>
        <w:tc>
          <w:tcPr>
            <w:tcW w:type="dxa" w:w="988"/>
            <w:tcMar/>
          </w:tcPr>
          <w:p>
            <w:pPr>
              <w:jc w:val="center"/>
            </w:pPr>
            <w:r>
              <w:rPr>
                <w:sz w:val="16"/>
              </w:rPr>
              <w:t>55241</w:t>
            </w:r>
          </w:p>
        </w:tc>
      </w:tr>
      <w:tr>
        <w:tc>
          <w:tcPr>
            <w:tcW w:type="dxa" w:w="988"/>
            <w:tcMar/>
          </w:tcPr>
          <w:p>
            <w:pPr>
              <w:jc w:val="center"/>
            </w:pPr>
            <w:r>
              <w:rPr>
                <w:sz w:val="16"/>
              </w:rPr>
              <w:t>Q3</w:t>
            </w:r>
          </w:p>
        </w:tc>
        <w:tc>
          <w:tcPr>
            <w:tcW w:type="dxa" w:w="988"/>
            <w:tcMar/>
          </w:tcPr>
          <w:p>
            <w:pPr>
              <w:jc w:val="center"/>
            </w:pPr>
            <w:r>
              <w:rPr>
                <w:sz w:val="16"/>
              </w:rPr>
              <w:t>66.48</w:t>
            </w:r>
          </w:p>
        </w:tc>
        <w:tc>
          <w:tcPr>
            <w:tcW w:type="dxa" w:w="988"/>
            <w:tcMar/>
          </w:tcPr>
          <w:p>
            <w:pPr>
              <w:jc w:val="center"/>
            </w:pPr>
            <w:r>
              <w:rPr>
                <w:sz w:val="16"/>
              </w:rPr>
              <w:t>1.07</w:t>
            </w:r>
          </w:p>
        </w:tc>
        <w:tc>
          <w:tcPr>
            <w:tcW w:type="dxa" w:w="988"/>
            <w:tcMar/>
          </w:tcPr>
          <w:p>
            <w:pPr>
              <w:jc w:val="center"/>
            </w:pPr>
            <w:r>
              <w:rPr>
                <w:sz w:val="16"/>
              </w:rPr>
              <w:t>0.9619</w:t>
            </w:r>
          </w:p>
        </w:tc>
        <w:tc>
          <w:tcPr>
            <w:tcW w:type="dxa" w:w="988"/>
            <w:tcMar/>
          </w:tcPr>
          <w:p>
            <w:pPr>
              <w:jc w:val="center"/>
            </w:pPr>
            <w:r>
              <w:rPr>
                <w:sz w:val="16"/>
              </w:rPr>
              <w:t>303.6</w:t>
            </w:r>
          </w:p>
        </w:tc>
        <w:tc>
          <w:tcPr>
            <w:tcW w:type="dxa" w:w="988"/>
            <w:tcMar/>
          </w:tcPr>
          <w:p>
            <w:pPr>
              <w:jc w:val="center"/>
            </w:pPr>
            <w:r>
              <w:rPr>
                <w:sz w:val="16"/>
              </w:rPr>
              <w:t>5.1632</w:t>
            </w:r>
          </w:p>
        </w:tc>
        <w:tc>
          <w:tcPr>
            <w:tcW w:type="dxa" w:w="988"/>
            <w:tcMar/>
          </w:tcPr>
          <w:p>
            <w:pPr>
              <w:jc w:val="center"/>
            </w:pPr>
            <w:r>
              <w:rPr>
                <w:sz w:val="16"/>
              </w:rPr>
              <w:t>46520</w:t>
            </w:r>
          </w:p>
        </w:tc>
      </w:tr>
      <w:tr>
        <w:tc>
          <w:tcPr>
            <w:tcW w:type="dxa" w:w="988"/>
            <w:tcMar/>
          </w:tcPr>
          <w:p>
            <w:pPr>
              <w:jc w:val="center"/>
            </w:pPr>
            <w:r>
              <w:rPr>
                <w:sz w:val="16"/>
              </w:rPr>
              <w:t>Q4</w:t>
            </w:r>
          </w:p>
        </w:tc>
        <w:tc>
          <w:tcPr>
            <w:tcW w:type="dxa" w:w="988"/>
            <w:tcMar/>
          </w:tcPr>
          <w:p>
            <w:pPr>
              <w:jc w:val="center"/>
            </w:pPr>
            <w:r>
              <w:rPr>
                <w:sz w:val="16"/>
              </w:rPr>
              <w:t>48.28</w:t>
            </w:r>
          </w:p>
        </w:tc>
        <w:tc>
          <w:tcPr>
            <w:tcW w:type="dxa" w:w="988"/>
            <w:tcMar/>
          </w:tcPr>
          <w:p>
            <w:pPr>
              <w:jc w:val="center"/>
            </w:pPr>
            <w:r>
              <w:rPr>
                <w:sz w:val="16"/>
              </w:rPr>
              <w:t>3.49</w:t>
            </w:r>
          </w:p>
        </w:tc>
        <w:tc>
          <w:tcPr>
            <w:tcW w:type="dxa" w:w="988"/>
            <w:tcMar/>
          </w:tcPr>
          <w:p>
            <w:pPr>
              <w:jc w:val="center"/>
            </w:pPr>
            <w:r>
              <w:rPr>
                <w:sz w:val="16"/>
              </w:rPr>
              <w:t>0.9631</w:t>
            </w:r>
          </w:p>
        </w:tc>
        <w:tc>
          <w:tcPr>
            <w:tcW w:type="dxa" w:w="988"/>
            <w:tcMar/>
          </w:tcPr>
          <w:p>
            <w:pPr>
              <w:jc w:val="center"/>
            </w:pPr>
            <w:r>
              <w:rPr>
                <w:sz w:val="16"/>
              </w:rPr>
              <w:t>356.6</w:t>
            </w:r>
          </w:p>
        </w:tc>
        <w:tc>
          <w:tcPr>
            <w:tcW w:type="dxa" w:w="988"/>
            <w:tcMar/>
          </w:tcPr>
          <w:p>
            <w:pPr>
              <w:jc w:val="center"/>
            </w:pPr>
            <w:r>
              <w:rPr>
                <w:sz w:val="16"/>
              </w:rPr>
              <w:t>4.6648</w:t>
            </w:r>
          </w:p>
        </w:tc>
        <w:tc>
          <w:tcPr>
            <w:tcW w:type="dxa" w:w="988"/>
            <w:tcMar/>
          </w:tcPr>
          <w:p>
            <w:pPr>
              <w:jc w:val="center"/>
            </w:pPr>
            <w:r>
              <w:rPr>
                <w:sz w:val="16"/>
              </w:rPr>
              <w:t>65095</w:t>
            </w:r>
          </w:p>
        </w:tc>
      </w:tr>
      <w:tr>
        <w:tc>
          <w:tcPr>
            <w:tcW w:type="dxa" w:w="988"/>
            <w:tcMar/>
          </w:tcPr>
          <w:p>
            <w:pPr>
              <w:jc w:val="center"/>
            </w:pPr>
            <w:r>
              <w:rPr>
                <w:sz w:val="16"/>
              </w:rPr>
              <w:t>Q5</w:t>
            </w:r>
          </w:p>
        </w:tc>
        <w:tc>
          <w:tcPr>
            <w:tcW w:type="dxa" w:w="988"/>
            <w:tcMar/>
          </w:tcPr>
          <w:p>
            <w:pPr>
              <w:jc w:val="center"/>
            </w:pPr>
            <w:r>
              <w:rPr>
                <w:sz w:val="16"/>
              </w:rPr>
              <w:t>54.65</w:t>
            </w:r>
          </w:p>
        </w:tc>
        <w:tc>
          <w:tcPr>
            <w:tcW w:type="dxa" w:w="988"/>
            <w:tcMar/>
          </w:tcPr>
          <w:p>
            <w:pPr>
              <w:jc w:val="center"/>
            </w:pPr>
            <w:r>
              <w:rPr>
                <w:sz w:val="16"/>
              </w:rPr>
              <w:t>1.30</w:t>
            </w:r>
          </w:p>
        </w:tc>
        <w:tc>
          <w:tcPr>
            <w:tcW w:type="dxa" w:w="988"/>
            <w:tcMar/>
          </w:tcPr>
          <w:p>
            <w:pPr>
              <w:jc w:val="center"/>
            </w:pPr>
            <w:r>
              <w:rPr>
                <w:sz w:val="16"/>
              </w:rPr>
              <w:t>0.9479</w:t>
            </w:r>
          </w:p>
        </w:tc>
        <w:tc>
          <w:tcPr>
            <w:tcW w:type="dxa" w:w="988"/>
            <w:tcMar/>
          </w:tcPr>
          <w:p>
            <w:pPr>
              <w:jc w:val="center"/>
            </w:pPr>
            <w:r>
              <w:rPr>
                <w:sz w:val="16"/>
              </w:rPr>
              <w:t>221.5</w:t>
            </w:r>
          </w:p>
        </w:tc>
        <w:tc>
          <w:tcPr>
            <w:tcW w:type="dxa" w:w="988"/>
            <w:tcMar/>
          </w:tcPr>
          <w:p>
            <w:pPr>
              <w:jc w:val="center"/>
            </w:pPr>
            <w:r>
              <w:rPr>
                <w:sz w:val="16"/>
              </w:rPr>
              <w:t>5.1735</w:t>
            </w:r>
          </w:p>
        </w:tc>
        <w:tc>
          <w:tcPr>
            <w:tcW w:type="dxa" w:w="988"/>
            <w:tcMar/>
          </w:tcPr>
          <w:p>
            <w:pPr>
              <w:jc w:val="center"/>
            </w:pPr>
            <w:r>
              <w:rPr>
                <w:sz w:val="16"/>
              </w:rPr>
              <w:t>47095</w:t>
            </w:r>
          </w:p>
        </w:tc>
      </w:tr>
    </w:tbl>
    <w:p>
      <w:pPr>
        <w:pStyle w:val="p1a"/>
      </w:pPr>
      <w:r>
        <w:t>Results. Table 8 presents the comprehensive simulation results. Self-capacitances range from 48.28 fF (Q4) to 66.48 fF (Q3), reflecting the variation in pad geometries. Nearest-neighbor coupling strengths vary from 1.07 MHz (Q3) to 4.27 MHz (Q1), indicating the sensitivity to coupler geometry. Junction participation ratios are consistently above 0.92, confirming that the Josephson junction dominates the circuit nonlinearity as required for transmon operation. The dielectric-limited T1 ranges from 150.0 us (Q1) to 356.6 us (Q4), setting an upper bound on the achievable coherence time in the absence of other loss mechanisms. Eigenmode frequencies range from 4.64 GHz (Q2) to 5.20 GHz (Q1) with quality factors between 44,907 and 65,095. Figure 9 visualizes the simulation workflow and intermediate results.</w:t>
      </w:r>
    </w:p>
    <w:p>
      <w:pPr>
        <w:pStyle w:val="p1a"/>
        <w:jc w:val="center"/>
      </w:pPr>
      <w:r>
        <w:drawing>
          <wp:inline xmlns:a="http://schemas.openxmlformats.org/drawingml/2006/main" xmlns:pic="http://schemas.openxmlformats.org/drawingml/2006/picture">
            <wp:extent cx="4114800" cy="1494400"/>
            <wp:docPr id="8" name="Picture 8"/>
            <wp:cNvGraphicFramePr>
              <a:graphicFrameLocks noChangeAspect="1"/>
            </wp:cNvGraphicFramePr>
            <a:graphic>
              <a:graphicData uri="http://schemas.openxmlformats.org/drawingml/2006/picture">
                <pic:pic>
                  <pic:nvPicPr>
                    <pic:cNvPr id="0" name="fig9_simulation.png"/>
                    <pic:cNvPicPr/>
                  </pic:nvPicPr>
                  <pic:blipFill>
                    <a:blip r:embed="rId25"/>
                    <a:stretch>
                      <a:fillRect/>
                    </a:stretch>
                  </pic:blipFill>
                  <pic:spPr>
                    <a:xfrm>
                      <a:off x="0" y="0"/>
                      <a:ext cx="4114800" cy="1494400"/>
                    </a:xfrm>
                    <a:prstGeom prst="rect"/>
                  </pic:spPr>
                </pic:pic>
              </a:graphicData>
            </a:graphic>
          </wp:inline>
        </w:drawing>
      </w:r>
    </w:p>
    <w:p>
      <w:pPr>
        <w:pStyle w:val="figurecaption"/>
        <w:jc w:val="center"/>
      </w:pPr>
      <w:r>
        <w:t>Fig. 8. Electromagnetic simulation workflow for a single qubit showing the four stages: Q3D capacitance extraction, LOM parameter computation, EPR junction participation analysis, and eigenmode frequency solving.</w:t>
      </w:r>
    </w:p>
    <w:p>
      <w:pPr>
        <w:pStyle w:val="p1a"/>
      </w:pPr>
      <w:r>
        <w:t>Analysis. The full-stack simulation demonstrates AetherQ's ability to orchestrate complex multi-stage workflows that require tight integration between different simulation engines. The variation in simulation results across the five qubits highlights the importance of simulating each qubit individually rather than relying on a single representative design. The discrepancy between the designed frequencies (5.17-5.59 GHz for Q1-Q5) and eigenmode frequencies (4.64-5.20 GHz) provides valuable feedback for the design iteration, indicating that parasitic capacitances and coupling effects shift the effective frequencies significantly. The T1 dielectric limits (150-357 us) are consistent with state-of-the-art transmon qubits fabricated on silicon substrates [3], validating the simulation methodology.</w:t>
      </w:r>
    </w:p>
    <w:p>
      <w:pPr>
        <w:pStyle w:val="heading2"/>
      </w:pPr>
      <w:r>
        <w:t>Experiment 6: Gate Pulse Optimization and Design Proposal</w:t>
      </w:r>
    </w:p>
    <w:p>
      <w:pPr>
        <w:pStyle w:val="p1a"/>
      </w:pPr>
      <w:r>
        <w:t>Task. Optimize single-qubit (X gate) and two-qubit (CZ gate) pulse parameters to maximize gate fidelity, and synthesize a comprehensive design improvement proposal.</w:t>
      </w:r>
    </w:p>
    <w:p>
      <w:pPr>
        <w:pStyle w:val="p1a"/>
      </w:pPr>
      <w:r>
        <w:t>Method. The Pulse Engineer agent invokes Module M7 for gate optimization. For the X gate, a Gaussian envelope with DRAG correction is used, with the DRAG coefficient optimized to minimize leakage to the second excited state. For the CZ gate, a flux pulse with net-zero constraint is optimized using the GRAPE algorithm to maximize fidelity while suppressing leakage and residual ZZ interaction. Both optimizations account for hardware constraints including AWG sampling rate (1 GSa/s), bandwidth limitation (500 MHz), minimum rise time (2 ns), and FPGA timing precision (1 ns). The Chip Designer agent then invokes Module M8 to synthesize a comprehensive design proposal incorporating all analysis results.</w:t>
      </w:r>
    </w:p>
    <w:p>
      <w:pPr>
        <w:pStyle w:val="p1a"/>
      </w:pPr>
      <w:r>
        <w:t>Results. The optimized X gate uses a 20 ns Gaussian+DRAG pulse with amplitude 0.1599 V and DRAG coefficient 0.46, achieving a predicted fidelity of 99.925% with leakage of 0.011% and a virtual Z correction of -0.0044 rad. The robustness analysis shows tolerance to frequency drift up to 1.11 MHz and amplitude errors up to 2.37%. The optimized CZ gate uses a 160 ns flux pulse with net-zero constraint, achieving a predicted fidelity of 99.84% with leakage of 0.22% and residual ZZ of 5.8 kHz. Phase corrections of 0.1342 rad (target qubit) and 0.0108 rad (spectator qubits) are applied. The frequency drift tolerance is 1.33 MHz with amplitude error tolerance of 2.12%.</w:t>
      </w:r>
    </w:p>
    <w:p>
      <w:pPr>
        <w:pStyle w:val="p1a"/>
      </w:pPr>
      <w:r>
        <w:t>The design proposal (prop_8993272b) targets gate fidelity of 99.9% and T1 of 80 us. The frequency planning recommends a non-uniform distribution spanning 4.8-5.5 GHz with minimum neighbor detuning of 150 MHz and readout resonator spacing of 20 MHz. The coupler optimization targets residual ZZ below 5 kHz with coupler frequencies in the 6.5-7.5 GHz range and coupling strengths of 12-18 MHz. Five layout modifications are recommended with prioritized implementation: increased airbridge density to suppress slot-line modes (high priority), optimized Purcell filter design to address the 15% T1 contribution (high priority), reduced SQUID loop area to decrease flux noise sensitivity (medium priority), improved substrate cleaning to reduce dielectric loss tangent (medium priority), and added package mode suppression structures (low priority).</w:t>
      </w:r>
    </w:p>
    <w:p>
      <w:pPr>
        <w:pStyle w:val="p1a"/>
      </w:pPr>
      <w:r>
        <w:t>The proposal includes a Pareto analysis across four optimization axes: coherence time (T1), gate speed, fabrication yield, and frequency crowding. The recommended operating point favors high T1 with moderate gate speed, reflecting the finding that the current performance bottleneck is coherence rather than gate speed. A three-phase implementation roadmap is provided: immediate actions (readout frequency adjustment, pulse parameter optimization, bias point tuning), medium-term improvements (coupler parameter adjustment, airbridge addition, filter chain improvement), and next-generation chip design (complete frequency replanning, new layout, new packaging). The risk assessment identifies junction parameter variability (~3% batch-to-batch) as the highest risk factor, with the mitigation strategy of reserving +/-50 MHz frequency tuning margin in the design.</w:t>
      </w:r>
    </w:p>
    <w:p>
      <w:pPr>
        <w:pStyle w:val="p1a"/>
      </w:pPr>
      <w:r>
        <w:t>Analysis. The pulse optimization results demonstrate that AetherQ can achieve near-state-of-the-art gate fidelities through systematic optimization within realistic hardware constraints. The predicted X gate fidelity of 99.925% approaches the coherence limit for the given T1 and T2 values, indicating that the DRAG optimization effectively suppresses leakage. The CZ gate fidelity of 99.84% is limited primarily by coherence, consistent with the noise budget analysis in Experiment 2. The design proposal synthesizes insights from all preceding experiments into a coherent improvement strategy, demonstrating the value of the integrated multi-agent approach. In a traditional workflow, generating such a comprehensive proposal would require extensive meetings between physicists, engineers, and designers; AetherQ produces it autonomously in a fraction of the time.</w:t>
      </w:r>
    </w:p>
    <w:p>
      <w:pPr>
        <w:pStyle w:val="heading1"/>
      </w:pPr>
      <w:r>
        <w:t>Discussion</w:t>
      </w:r>
    </w:p>
    <w:p>
      <w:pPr>
        <w:pStyle w:val="heading2"/>
      </w:pPr>
      <w:r>
        <w:t>Strengths and Capabilities</w:t>
      </w:r>
    </w:p>
    <w:p>
      <w:pPr>
        <w:pStyle w:val="p1a"/>
      </w:pPr>
      <w:r>
        <w:t>AetherQ demonstrates several unique strengths that distinguish it from existing approaches to AI-assisted quantum hardware development. First, the multi-agent architecture enables natural decomposition of the complex research pipeline into specialized sub-tasks, mirroring the organizational structure of real quantum hardware research teams. This modularity facilitates independent development and testing of individual agents, as well as easy extension to new capabilities. Second, the nine physics modules (M0-M8) encode deep domain knowledge that goes beyond what general-purpose LLMs can provide, enabling precise numerical computation and physics-informed reasoning. Third, the graceful degradation mechanism ensures robustness in real-world settings where tool failures are common, a critical requirement for deployment in active research environments.</w:t>
      </w:r>
    </w:p>
    <w:p>
      <w:pPr>
        <w:pStyle w:val="p1a"/>
      </w:pPr>
      <w:r>
        <w:t>The experimental validation on a 20-qubit chip demonstrates that AetherQ can perform tasks that currently require significant human expertise. The autonomous Hamiltonian construction (Experiment 1) replaces a process that typically requires a physicist to manually specify parameters and check constraints. The noise budget decomposition (Experiment 2) automates a complex analysis that requires knowledge of multiple decoherence mechanisms and their parameter dependencies. The anomaly diagnosis (Experiment 3) provides structured reasoning about hardware failures that would otherwise rely on the experimentalist's intuition and experience. The adaptive experiment planning (Experiment 4) optimizes resource allocation in a principled manner. The full-stack simulation (Experiment 5) orchestrates multiple simulation tools that are typically run independently by different team members. The pulse optimization and design proposal (Experiment 6) synthesize insights across the entire research pipeline.</w:t>
      </w:r>
    </w:p>
    <w:p>
      <w:pPr>
        <w:pStyle w:val="heading2"/>
      </w:pPr>
      <w:r>
        <w:t>Limitations and Future Directions</w:t>
      </w:r>
    </w:p>
    <w:p>
      <w:pPr>
        <w:pStyle w:val="p1a"/>
      </w:pPr>
      <w:r>
        <w:t>Despite its capabilities, AetherQ has several important limitations that point to directions for future research. First, the system currently operates on simulated or pre-characterized data rather than directly controlling experimental hardware. Closing the loop between AI-generated experiment plans and physical measurements requires integration with laboratory control systems, which raises challenges related to safety, real-time constraints, and error handling. Second, the physics modules encode current best-practice models that may not capture all relevant phenomena, particularly for novel qubit designs or exotic noise mechanisms. Incorporating mechanisms for the system to identify and flag situations where its models may be inadequate is an important area for improvement. Third, the LLM backbone introduces inherent limitations in numerical precision and reasoning reliability, particularly for complex mathematical derivations. While the structured tool-call protocol mitigates this by delegating numerical computation to specialized modules, the system's reasoning about when and how to invoke these modules still depends on the LLM's capabilities.</w:t>
      </w:r>
    </w:p>
    <w:p>
      <w:pPr>
        <w:pStyle w:val="p1a"/>
      </w:pPr>
      <w:r>
        <w:t>Future development of AetherQ will focus on several key areas. Hardware integration through standardized APIs (such as QCoDeS and Labber) will enable direct experimental control. Expanding the physics module library to support additional qubit types (fluxonium, bosonic codes) and architectures (2D grids, heavy-hex) will broaden the system's applicability. Implementing active learning strategies for simulation-based design optimization will reduce the number of expensive electromagnetic simulations required. Developing formal verification methods to validate the physical consistency of agent outputs will increase trust in autonomous operation. Finally, incorporating human-in-the-loop interaction modes will enable seamless collaboration between AI agents and human researchers, combining the strengths of both.</w:t>
      </w:r>
    </w:p>
    <w:p>
      <w:pPr>
        <w:pStyle w:val="heading2"/>
      </w:pPr>
      <w:r>
        <w:t>Comparison with Existing Approaches</w:t>
      </w:r>
    </w:p>
    <w:p>
      <w:pPr>
        <w:pStyle w:val="p1a"/>
      </w:pPr>
      <w:r>
        <w:t>Compared to existing AI approaches for quantum computing, AetherQ occupies a unique position in the landscape. Narrow machine learning approaches, such as neural network decoders [36,37] or reinforcement learning calibration agents [38,39], excel at their specific tasks but cannot generalize across the research pipeline. EDA tools like Qiskit Metal [46] and KQCircuits [45] provide excellent design capabilities but lack the scientific reasoning needed for diagnosis and experiment planning. General-purpose LLM agents [23,33] offer broad reasoning capabilities but lack the domain-specific knowledge and tool integration needed for quantum hardware research. AetherQ uniquely combines all three aspects, broad LLM reasoning, domain-specific physics modules, and comprehensive tool integration, within a coherent multi-agent framework. The key insight is that quantum chip research requires not just individual capabilities but the ability to coordinate across diverse sub-tasks, precisely the strength of the multi-agent paradigm.</w:t>
      </w:r>
    </w:p>
    <w:p>
      <w:pPr>
        <w:pStyle w:val="heading2"/>
      </w:pPr>
      <w:r>
        <w:t>Broader Impact and Societal Considerations</w:t>
      </w:r>
    </w:p>
    <w:p>
      <w:pPr>
        <w:pStyle w:val="p1a"/>
      </w:pPr>
      <w:r>
        <w:t>The development of AI-assisted quantum hardware design raises several broader considerations. On the positive side, systems like AetherQ have the potential to democratize access to quantum chip design expertise, enabling smaller research groups and emerging quantum computing programs to iterate on chip designs more efficiently. The structured knowledge base and diagnostic capabilities can serve as an educational tool, helping junior researchers understand the complex relationships between design parameters, fabrication processes, and device performance. The transparent action trace logging ensures that AI-generated recommendations can be reviewed, validated, and learned from by human experts.</w:t>
      </w:r>
    </w:p>
    <w:p>
      <w:pPr/>
      <w:r>
        <w:t>At the same time, caution is warranted regarding the reliability of AI-generated design recommendations. While the physics-structured modules provide guardrails against physically unreasonable suggestions, the ultimate responsibility for design decisions must remain with human engineers who understand the full context of fabrication constraints, safety requirements, and project objectives. The graceful degradation mechanism, while ensuring system availability, also means that recommendations may sometimes be based on analytical approximations rather than full electromagnetic simulations, and users must be aware of the confidence level associated with each output. Future work should explore formal verification methods for AI-generated quantum device designs, ensuring that critical specifications are provably satisfied before committing to fabrication.</w:t>
      </w:r>
    </w:p>
    <w:p>
      <w:pPr>
        <w:pStyle w:val="heading1"/>
      </w:pPr>
      <w:r>
        <w:t>Conclusion</w:t>
      </w:r>
    </w:p>
    <w:p>
      <w:pPr>
        <w:pStyle w:val="p1a"/>
      </w:pPr>
      <w:r>
        <w:t>We have presented AetherQ, a multi-agent AI system for autonomous superconducting quantum chip research. AetherQ orchestrates twelve specialized LLM agents through a hierarchical architecture with nine physics modules (M0-M8) covering the complete research pipeline from Hamiltonian construction to GDS layout generation. Through comprehensive experiments on a 20-qubit transmon chip with tunable couplers, we have demonstrated autonomous Hamiltonian construction for 20 qubits and 19 couplers with frequency collision detection, noise budget decomposition identifying dielectric loss and TLS defects as dominant T1 limiters, multi-hypothesis anomaly diagnosis across four failure modes with structured verification paths, adaptive experiment planning under budget constraints, full-stack electromagnetic simulation (Q3D, LOM, EPR, eigenmode), and gate pulse optimization achieving 99.925% single-qubit and 99.84% two-qubit predicted fidelities.</w:t>
      </w:r>
    </w:p>
    <w:p>
      <w:pPr>
        <w:pStyle w:val="p1a"/>
      </w:pPr>
      <w:r>
        <w:t>AetherQ represents a new paradigm for AI-accelerated quantum hardware development, where LLM-based scientific reasoning is tightly integrated with domain-specific computation and experimental design. As quantum processors continue to scale to hundreds and thousands of qubits, the complexity of the research cycle will only increase, making AI-assisted automation increasingly essential. We believe that systems like AetherQ, which combine the broad reasoning capabilities of LLMs with the precision of physics-informed computation modules, will play a critical role in accelerating the path toward practical quantum computing. Future work will focus on hardware integration for closed-loop autonomous experimentation, extension to diverse qubit platforms, and formal verification of AI-generated designs.</w:t>
      </w:r>
    </w:p>
    <w:p>
      <w:pPr>
        <w:pStyle w:val="heading1"/>
      </w:pPr>
      <w:r>
        <w:t>Acknowledgments</w:t>
      </w:r>
    </w:p>
    <w:p>
      <w:pPr>
        <w:pStyle w:val="acknowlegments"/>
      </w:pPr>
      <w:r>
        <w:t>This work was supported by the National Key Research and Development Program of China (Grant No. 2021YFA1400100), the National Natural Science Foundation of China (Grant Nos. 12174370, 12274404), and the Chinese Academy of Sciences Strategic Priority Research Program (Grant No. XDB28000000). The authors thank the members of the quantum chip fabrication team for providing the experimental data used in this study, and the anonymous reviewers for their constructive feedback.</w:t>
      </w:r>
    </w:p>
    <w:p>
      <w:pPr>
        <w:pStyle w:val="heading1"/>
      </w:pPr>
      <w:r>
        <w:t>References</w:t>
      </w:r>
    </w:p>
    <w:p>
      <w:pPr>
        <w:pStyle w:val="referenceitem"/>
      </w:pPr>
      <w:r>
        <w:t>1. Kjaergaard, M., Schwartz, M.E., Braumuller, J., et al. Superconducting qubits: Current state of play[J]. Annual Review of Condensed Matter Physics, 2020, 11: 369-395.</w:t>
      </w:r>
    </w:p>
    <w:p>
      <w:pPr>
        <w:pStyle w:val="referenceitem"/>
      </w:pPr>
      <w:r>
        <w:t>2. Krantz, P., Kjaergaard, M., Yan, F., et al. A quantum engineer's guide to superconducting qubits[J]. Applied Physics Reviews, 2019, 6(2): 021318.</w:t>
      </w:r>
    </w:p>
    <w:p>
      <w:pPr>
        <w:pStyle w:val="referenceitem"/>
      </w:pPr>
      <w:r>
        <w:t>3. Koch, J., Yu, T.M., Gambetta, J., et al. Charge-insensitive qubit design derived from the Cooper pair box[J]. Physical Review A, 2007, 76(4): 042319.</w:t>
      </w:r>
    </w:p>
    <w:p>
      <w:pPr>
        <w:pStyle w:val="referenceitem"/>
      </w:pPr>
      <w:r>
        <w:t>4. Google Quantum AI. Suppressing quantum errors by scaling a surface code logical qubit[J]. Nature, 2023, 614: 676-681.</w:t>
      </w:r>
    </w:p>
    <w:p>
      <w:pPr>
        <w:pStyle w:val="referenceitem"/>
      </w:pPr>
      <w:r>
        <w:t>5. Arute, F., Arya, K., Babbush, R., et al. Quantum supremacy using a programmable superconducting processor[J]. Nature, 2019, 574: 505-510.</w:t>
      </w:r>
    </w:p>
    <w:p>
      <w:pPr>
        <w:pStyle w:val="referenceitem"/>
      </w:pPr>
      <w:r>
        <w:t>6. Kim, Y., Eddins, A., Anand, S., et al. Evidence for the utility of quantum computing before fault tolerance[J]. Nature, 2023, 618: 500-505.</w:t>
      </w:r>
    </w:p>
    <w:p>
      <w:pPr>
        <w:pStyle w:val="referenceitem"/>
      </w:pPr>
      <w:r>
        <w:t>7. IBM Quantum. IBM Quantum Development Roadmap[J]. IBM Research Blog, 2023.</w:t>
      </w:r>
    </w:p>
    <w:p>
      <w:pPr>
        <w:pStyle w:val="referenceitem"/>
      </w:pPr>
      <w:r>
        <w:t>8. Gambetta, J.M., Chow, J.M., Steffen, M. Building logical qubits in a superconducting quantum computing system[J]. npj Quantum Information, 2017, 3: 2.</w:t>
      </w:r>
    </w:p>
    <w:p>
      <w:pPr>
        <w:pStyle w:val="referenceitem"/>
      </w:pPr>
      <w:r>
        <w:t>9. Brink, M., Chow, J.M., Hertzberg, J., et al. Device challenges for near-term superconducting quantum processors: frequency collisions[C]. IEEE International Electron Devices Meeting, 2018: 6.1.1-6.1.4.</w:t>
      </w:r>
    </w:p>
    <w:p>
      <w:pPr>
        <w:pStyle w:val="referenceitem"/>
      </w:pPr>
      <w:r>
        <w:t>10. Hertzberg, J.B., Zhang, E.J., Rosenblatt, S., et al. Laser-annealing Josephson junctions for yielding scaled-up superconducting quantum processors[J]. npj Quantum Information, 2021, 7: 129.</w:t>
      </w:r>
    </w:p>
    <w:p>
      <w:pPr>
        <w:pStyle w:val="referenceitem"/>
      </w:pPr>
      <w:r>
        <w:t>11. Minev, Z.K., Leghtas, Z., Mundhada, S.O., et al. Energy-participation quantization of Josephson circuits[J]. npj Quantum Information, 2021, 7: 131.</w:t>
      </w:r>
    </w:p>
    <w:p>
      <w:pPr>
        <w:pStyle w:val="referenceitem"/>
      </w:pPr>
      <w:r>
        <w:t>12. Solgun, F., Abraham, D.W., DiVincenzo, D.P. Blackbox quantization of superconducting circuits using exact impedance synthesis[J]. Physical Review B, 2014, 90: 134504.</w:t>
      </w:r>
    </w:p>
    <w:p>
      <w:pPr>
        <w:pStyle w:val="referenceitem"/>
      </w:pPr>
      <w:r>
        <w:t>13. Sheldon, S., Magesan, E., Chow, J.M., et al. Procedure for systematically tuning up cross-talk in the cross-resonance gate[J]. Physical Review A, 2016, 93: 060302.</w:t>
      </w:r>
    </w:p>
    <w:p>
      <w:pPr>
        <w:pStyle w:val="referenceitem"/>
      </w:pPr>
      <w:r>
        <w:t>14. Knill, E., Leibfried, D., Reichle, R., et al. Randomized benchmarking of quantum gates[J]. Physical Review A, 2008, 77: 012307.</w:t>
      </w:r>
    </w:p>
    <w:p>
      <w:pPr>
        <w:pStyle w:val="referenceitem"/>
      </w:pPr>
      <w:r>
        <w:t>15. Muller, C., Cole, J.H., Lisenfeld, J. Towards understanding two-level-systems in amorphous solids: insights from quantum circuits[J]. Reports on Progress in Physics, 2019, 82: 124501.</w:t>
      </w:r>
    </w:p>
    <w:p>
      <w:pPr>
        <w:pStyle w:val="referenceitem"/>
      </w:pPr>
      <w:r>
        <w:t>16. Schlor, S., Lisenfeld, J., Muller, C., et al. Correlating decoherence in transmon qubits: low frequency noise by single fluctuators[J]. Physical Review Letters, 2019, 123: 190502.</w:t>
      </w:r>
    </w:p>
    <w:p>
      <w:pPr>
        <w:pStyle w:val="referenceitem"/>
      </w:pPr>
      <w:r>
        <w:t>17. OpenAI. GPT-4 technical report[J]. arXiv preprint arXiv:2303.08774, 2023.</w:t>
      </w:r>
    </w:p>
    <w:p>
      <w:pPr>
        <w:pStyle w:val="referenceitem"/>
      </w:pPr>
      <w:r>
        <w:t>18. Anthropic. Claude 3 technical report[J]. Anthropic Research, 2024.</w:t>
      </w:r>
    </w:p>
    <w:p>
      <w:pPr>
        <w:pStyle w:val="referenceitem"/>
      </w:pPr>
      <w:r>
        <w:t>19. Romera-Paredes, B., Barekatain, M., Novikov, A., et al. Mathematical discoveries from program search with large language models[J]. Nature, 2024, 625: 468-475.</w:t>
      </w:r>
    </w:p>
    <w:p>
      <w:pPr>
        <w:pStyle w:val="referenceitem"/>
      </w:pPr>
      <w:r>
        <w:t>20. Boiko, D.A., MacKnight, R., Kline, B., et al. Autonomous chemical research with large language models[J]. Nature, 2023, 624: 570-578.</w:t>
      </w:r>
    </w:p>
    <w:p>
      <w:pPr>
        <w:pStyle w:val="referenceitem"/>
      </w:pPr>
      <w:r>
        <w:t>21. Wang, L., Ma, C., Feng, X., et al. A survey on large language model based autonomous agents[J]. Frontiers of Computer Science, 2024, 18(6): 186345.</w:t>
      </w:r>
    </w:p>
    <w:p>
      <w:pPr>
        <w:pStyle w:val="referenceitem"/>
      </w:pPr>
      <w:r>
        <w:t>22. Xi, Z., Chen, W., Guo, X., et al. The rise and potential of large language model based agents: a survey[J]. arXiv preprint arXiv:2309.07864, 2023.</w:t>
      </w:r>
    </w:p>
    <w:p>
      <w:pPr>
        <w:pStyle w:val="referenceitem"/>
      </w:pPr>
      <w:r>
        <w:t>23. Wu, Q., Bansal, G., Zhang, J., et al. AutoGen: Enabling next-gen LLM applications via multi-agent conversation[J]. arXiv preprint arXiv:2308.08155, 2023.</w:t>
      </w:r>
    </w:p>
    <w:p>
      <w:pPr>
        <w:pStyle w:val="referenceitem"/>
      </w:pPr>
      <w:r>
        <w:t>24. Park, J.S., O'Brien, J.C., Cai, C.J., et al. Generative agents: Interactive simulacra of human behavior[C]. UIST 2023: 1-22.</w:t>
      </w:r>
    </w:p>
    <w:p>
      <w:pPr>
        <w:pStyle w:val="referenceitem"/>
      </w:pPr>
      <w:r>
        <w:t>25. Fosel, T., Krastanov, S., Marquardt, F., et al. Quantum circuit optimization with deep reinforcement learning[J]. arXiv preprint arXiv:2103.07585, 2021.</w:t>
      </w:r>
    </w:p>
    <w:p>
      <w:pPr>
        <w:pStyle w:val="referenceitem"/>
      </w:pPr>
      <w:r>
        <w:t>26. Temme, K., Bravyi, S., Gambetta, J.M. Error mitigation for short-depth quantum circuits[J]. Physical Review Letters, 2017, 119: 180509.</w:t>
      </w:r>
    </w:p>
    <w:p>
      <w:pPr>
        <w:pStyle w:val="referenceitem"/>
      </w:pPr>
      <w:r>
        <w:t>27. Cerezo, M., Arrasmith, A., Babbush, R., et al. Variational quantum algorithms[J]. Nature Reviews Physics, 2021, 3: 625-644.</w:t>
      </w:r>
    </w:p>
    <w:p>
      <w:pPr>
        <w:pStyle w:val="referenceitem"/>
      </w:pPr>
      <w:r>
        <w:t>28. Schick, T., Dwivedi-Yu, J., Dessi, R., et al. Toolformer: Language models can teach themselves to use tools[J]. Advances in Neural Information Processing Systems, 2023, 36.</w:t>
      </w:r>
    </w:p>
    <w:p>
      <w:pPr>
        <w:pStyle w:val="referenceitem"/>
      </w:pPr>
      <w:r>
        <w:t>29. Bran, A.M., Cox, S., Schilter, O., et al. ChemCrow: Augmenting large-language models with chemistry tools[J]. Nature Machine Intelligence, 2024, 6: 525-535.</w:t>
      </w:r>
    </w:p>
    <w:p>
      <w:pPr>
        <w:pStyle w:val="referenceitem"/>
      </w:pPr>
      <w:r>
        <w:t>30. Boiko, D.A., MacKnight, R., Gomes, G. Emergent autonomous scientific research capabilities of large language models[J]. arXiv preprint arXiv:2304.05332, 2023.</w:t>
      </w:r>
    </w:p>
    <w:p>
      <w:pPr>
        <w:pStyle w:val="referenceitem"/>
      </w:pPr>
      <w:r>
        <w:t>31. Tang, X., Zou, A., Zhang, Z., et al. SciAgent: Tool-augmented language models for scientific reasoning[J]. arXiv preprint arXiv:2402.11451, 2024.</w:t>
      </w:r>
    </w:p>
    <w:p>
      <w:pPr>
        <w:pStyle w:val="referenceitem"/>
      </w:pPr>
      <w:r>
        <w:t>32. Huang, Q., Tao, J., An, Z., et al. ResearchAgent: Iterative research idea generation over scientific literature with large language models[J]. arXiv preprint arXiv:2404.07738, 2024.</w:t>
      </w:r>
    </w:p>
    <w:p>
      <w:pPr>
        <w:pStyle w:val="referenceitem"/>
      </w:pPr>
      <w:r>
        <w:t>33. Hong, S., Zhuge, M., Chen, J., et al. MetaGPT: Meta programming for a multi-agent collaborative framework[J]. arXiv preprint arXiv:2308.00352, 2023.</w:t>
      </w:r>
    </w:p>
    <w:p>
      <w:pPr>
        <w:pStyle w:val="referenceitem"/>
      </w:pPr>
      <w:r>
        <w:t>34. Li, G., Hammoud, H.A.A.K., Itani, H., et al. CAMEL: Communicative agents for mind exploration of large language model society[J]. Advances in Neural Information Processing Systems, 2023, 36.</w:t>
      </w:r>
    </w:p>
    <w:p>
      <w:pPr>
        <w:pStyle w:val="referenceitem"/>
      </w:pPr>
      <w:r>
        <w:t>35. Torlai, G., Mazzola, G., Carrasquilla, J., et al. Neural-network quantum state tomography[J]. Nature Physics, 2018, 14: 447-450.</w:t>
      </w:r>
    </w:p>
    <w:p>
      <w:pPr>
        <w:pStyle w:val="referenceitem"/>
      </w:pPr>
      <w:r>
        <w:t>36. Baireuther, P., O'Brien, T.E., Tarasinski, B., et al. Machine-learning-assisted correction of correlated qubit errors in a topological code[J]. Quantum, 2018, 2: 48.</w:t>
      </w:r>
    </w:p>
    <w:p>
      <w:pPr>
        <w:pStyle w:val="referenceitem"/>
      </w:pPr>
      <w:r>
        <w:t>37. Chamberland, C., Ronagh, P. Deep neural decoders for near term fault-tolerant experiments[J]. Quantum Science and Technology, 2018, 3: 044002.</w:t>
      </w:r>
    </w:p>
    <w:p>
      <w:pPr>
        <w:pStyle w:val="referenceitem"/>
      </w:pPr>
      <w:r>
        <w:t>38. Baum, Y., Amico, M., Howell, S., et al. Experimental deep reinforcement learning for error-robust gate-set design on a superconducting quantum computer[J]. PRX Quantum, 2021, 2: 040324.</w:t>
      </w:r>
    </w:p>
    <w:p>
      <w:pPr>
        <w:pStyle w:val="referenceitem"/>
      </w:pPr>
      <w:r>
        <w:t>39. Sivak, V.B., Eickbusch, A., Liu, H., et al. Model-free quantum control with reinforcement learning[J]. Physical Review X, 2022, 12: 011059.</w:t>
      </w:r>
    </w:p>
    <w:p>
      <w:pPr>
        <w:pStyle w:val="referenceitem"/>
      </w:pPr>
      <w:r>
        <w:t>40. Swiadek, F., Shillito, R., Corne, P., et al. Enhancing dispersive readout of superconducting qubits through dynamic control[J]. arXiv preprint arXiv:2307.07765, 2023.</w:t>
      </w:r>
    </w:p>
    <w:p>
      <w:pPr>
        <w:pStyle w:val="referenceitem"/>
      </w:pPr>
      <w:r>
        <w:t>41. Zhang, H., Shao, S., Salahuddin, S., et al. Neural network surrogate models for superconducting quantum circuit simulation[J]. IEEE Transactions on Microwave Theory and Techniques, 2023, 71(8): 3488-3498.</w:t>
      </w:r>
    </w:p>
    <w:p>
      <w:pPr>
        <w:pStyle w:val="referenceitem"/>
      </w:pPr>
      <w:r>
        <w:t>42. Zhu, E., Zhu, Q., Zhou, Y., et al. Machine learning aided design of superconducting quantum circuits[J]. arXiv preprint arXiv:2306.09893, 2023.</w:t>
      </w:r>
    </w:p>
    <w:p>
      <w:pPr>
        <w:pStyle w:val="referenceitem"/>
      </w:pPr>
      <w:r>
        <w:t>43. Liu, J., Hu, W., Zhong, J., et al. Quantum circuit generation using large language models[J]. arXiv preprint arXiv:2311.01901, 2023.</w:t>
      </w:r>
    </w:p>
    <w:p>
      <w:pPr>
        <w:pStyle w:val="referenceitem"/>
      </w:pPr>
      <w:r>
        <w:t>44. Patel, T., Gokhale, P., Friedman, R., et al. QDAGS: Quantum circuit analysis using LLMs and graph neural networks[J]. arXiv preprint arXiv:2312.09876, 2023.</w:t>
      </w:r>
    </w:p>
    <w:p>
      <w:pPr>
        <w:pStyle w:val="referenceitem"/>
      </w:pPr>
      <w:r>
        <w:t>45. IQM Finland. KQCircuits: Klayout extension for superconducting quantum circuit design[J]. GitHub repository, 2022.</w:t>
      </w:r>
    </w:p>
    <w:p>
      <w:pPr>
        <w:pStyle w:val="referenceitem"/>
      </w:pPr>
      <w:r>
        <w:t>46. Zlatko K. Minev et al. Qiskit Metal: An open-source framework for quantum device design and analysis[J]. IBM Quantum, 2021.</w:t>
      </w:r>
    </w:p>
    <w:p>
      <w:pPr>
        <w:pStyle w:val="referenceitem"/>
      </w:pPr>
      <w:r>
        <w:t>47. Sete, E.A., Chen, Z., Ding, S., et al. SQDMetal: A modular Python library for designing superconducting quantum devices[J]. arXiv preprint arXiv:2401.02857, 2024.</w:t>
      </w:r>
    </w:p>
    <w:p>
      <w:pPr>
        <w:pStyle w:val="referenceitem"/>
      </w:pPr>
      <w:r>
        <w:t>48. Ansys Inc. Ansys HFSS: High-frequency structure simulator[J]. Ansys Documentation, 2023.</w:t>
      </w:r>
    </w:p>
    <w:p>
      <w:pPr>
        <w:pStyle w:val="referenceitem"/>
      </w:pPr>
      <w:r>
        <w:t>49. Motzoi, F., Gambetta, J.M., Merkel, S.T., et al. Optimal control methods for rapidly time-varying Hamiltonians[J]. Physical Review A, 2011, 84: 022307.</w:t>
      </w:r>
    </w:p>
    <w:p>
      <w:pPr>
        <w:pStyle w:val="referenceitem"/>
      </w:pPr>
      <w:r>
        <w:t>50. Lindley, D.V. On a measure of the information provided by an experiment[J]. Annals of Mathematical Statistics, 1956, 27: 986-1005.</w:t>
      </w:r>
    </w:p>
    <w:p>
      <w:pPr>
        <w:pStyle w:val="referenceitem"/>
      </w:pPr>
      <w:r>
        <w:t>51. Sank, D., Chen, Z., Khezri, M., et al. Measurement-induced state transitions in a superconducting qubit: beyond the rotating wave approximation[J]. Physical Review Letters, 2016, 117: 190503.</w:t>
      </w:r>
    </w:p>
    <w:p>
      <w:pPr>
        <w:pStyle w:val="referenceitem"/>
      </w:pPr>
      <w:r>
        <w:t>52. Martinis, J.M., Geller, M.R. Fast adiabatic qubit gates using only sigma_z control[J]. Physical Review A, 2014, 90: 022307.</w:t>
      </w:r>
    </w:p>
    <w:p>
      <w:pPr>
        <w:pStyle w:val="referenceitem"/>
      </w:pPr>
      <w:r>
        <w:t>53. Barends, R., Kelly, J., Megrant, A., et al. Superconducting quantum circuits at the surface code threshold for fault tolerance[J]. Nature, 2014, 508: 500-503.</w:t>
      </w:r>
    </w:p>
    <w:p>
      <w:pPr>
        <w:pStyle w:val="referenceitem"/>
      </w:pPr>
      <w:r>
        <w:t>54. Place, A.P.M., Rodgers, L.V.H., Mundada, P., et al. New material platform for superconducting transmon qubits with coherence times exceeding 0.3 milliseconds[J]. Nature Communications, 2021, 12: 1779.</w:t>
      </w:r>
    </w:p>
    <w:p>
      <w:pPr>
        <w:pStyle w:val="referenceitem"/>
      </w:pPr>
      <w:r>
        <w:t>55. Wang, C., Li, X., Xu, H., et al. Towards practical quantum advantage with near-term quantum computing[J]. Nature Communications, 2023, 14: 2145.</w:t>
      </w:r>
    </w:p>
    <w:p>
      <w:pPr>
        <w:pStyle w:val="referenceitem"/>
      </w:pPr>
      <w:r>
        <w:t>56. Sung, Y., Ding, L., Braumueller, J., et al. Realization of high-fidelity CZ and ZZ-free iSWAP gates with a tunable coupler[J]. Physical Review X, 2021, 11: 021058.</w:t>
      </w:r>
    </w:p>
    <w:p>
      <w:pPr>
        <w:pStyle w:val="referenceitem"/>
      </w:pPr>
      <w:r>
        <w:t>57. Wu, F., Guo, J., Xia, T., et al. Quantum Design Automation: Foundations, Challenges, and the Road Ahead[A]. arXiv:2511.10479, 2025.</w:t>
      </w:r>
    </w:p>
    <w:p>
      <w:pPr>
        <w:pStyle w:val="referenceitem"/>
      </w:pPr>
      <w:r>
        <w:t>58. Ostrander, A., Chitta, S.P., Ganzhorn, M., et al. Automated, physics-guided, multi-parameter design optimization for superconducting quantum devices[A]. arXiv:2508.18027, 2025.</w:t>
      </w:r>
    </w:p>
    <w:p>
      <w:pPr>
        <w:pStyle w:val="referenceitem"/>
      </w:pPr>
      <w:r>
        <w:t>59. Li, Z., Wang, Z., Zhang, F., et al. Scalable parameter design for superconducting quantum circuits with graph neural networks[A]. arXiv:2411.16354, 2024.</w:t>
      </w:r>
    </w:p>
    <w:p>
      <w:pPr>
        <w:pStyle w:val="referenceitem"/>
      </w:pPr>
      <w:r>
        <w:t>60. Li, Y., Chen, X., Zhang, H., et al. Large language model-assisted superconducting qubit experiments[A]. arXiv:2603.08801, 2026.</w:t>
      </w:r>
    </w:p>
    <w:p>
      <w:pPr>
        <w:pStyle w:val="referenceitem"/>
      </w:pPr>
      <w:r>
        <w:t>61. Kumar, S., Patel, R., Chen, M., et al. QUASAR: Quantum assembly code generation using tool-augmented LLMs via agentic RL[A]. arXiv:2510.00967, 2025.</w:t>
      </w:r>
    </w:p>
    <w:p>
      <w:pPr>
        <w:pStyle w:val="referenceitem"/>
      </w:pPr>
      <w:r>
        <w:t>62. Sivak, V.B., Eickbusch, A., Khezri, M., et al. Reinforcement learning control of quantum error correction[A]. arXiv:2511.08493, 2025.</w:t>
      </w:r>
    </w:p>
    <w:p>
      <w:pPr>
        <w:pStyle w:val="referenceitem"/>
      </w:pPr>
      <w:r>
        <w:t>63. Zhang, Y., Wang, L., Chen, J., et al. From AI for Science to Agentic Science: A survey on autonomous scientific discovery[A]. arXiv:2508.14111, 2025.</w:t>
      </w:r>
    </w:p>
    <w:p>
      <w:pPr>
        <w:pStyle w:val="referenceitem"/>
      </w:pPr>
      <w:r>
        <w:t>64. Liu, X., Wei, Q., Chen, Z., et al. SciAgent: A unified multi-agent system for generalistic scientific reasoning[A]. arXiv:2511.08151, 2025.</w:t>
      </w:r>
    </w:p>
    <w:p>
      <w:pPr>
        <w:pStyle w:val="referenceitem"/>
      </w:pPr>
      <w:r>
        <w:t>65. Zou, Y., Cheng, A.H., Aldossary, A., et al. El Agente: An autonomous agent for quantum chemistry[A]. arXiv:2505.02484, 2025.</w:t>
      </w:r>
    </w:p>
    <w:p>
      <w:pPr>
        <w:pStyle w:val="referenceitem"/>
      </w:pPr>
      <w:r>
        <w:t>66. Gustin, I., Mantilla Calderon, L., Perez-Sanchez, J.B., et al. El Agente Cuantico: Automating quantum simulations[A]. arXiv:2512.18847, 2025.</w:t>
      </w:r>
    </w:p>
    <w:p>
      <w:pPr>
        <w:pStyle w:val="referenceitem"/>
      </w:pPr>
      <w:r>
        <w:t>67. Lu, C., Lu, C., Lange, R.T., et al. The AI Scientist: Towards fully automated open-ended scientific discovery[A]. arXiv:2408.06292, 2024.</w:t>
      </w:r>
    </w:p>
    <w:p>
      <w:pPr>
        <w:pStyle w:val="referenceitem"/>
      </w:pPr>
      <w:r>
        <w:t>68. Lala, J., O'Donoghue, O., Zamfirescu-Pereira, A., et al. PaperQA: Retrieval-augmented generative agent for scientific research[A]. arXiv:2312.07559, 2023.</w:t>
      </w:r>
    </w:p>
    <w:p>
      <w:pPr>
        <w:pStyle w:val="referenceitem"/>
      </w:pPr>
      <w:r>
        <w:t>69. Yao, S., Zhao, J., Yu, D., et al. ReAct: Synergizing reasoning and acting in language models[C]//ICLR 2023.</w:t>
      </w:r>
    </w:p>
    <w:p>
      <w:pPr>
        <w:pStyle w:val="referenceitem"/>
      </w:pPr>
      <w:r>
        <w:t>70. Bylander, J., Gustavsson, S., Yan, F., et al. Noise spectroscopy through dynamical decoupling with a superconducting flux qubit[J]. Nature Physics, 2011, 7: 565-570.</w:t>
      </w:r>
    </w:p>
    <w:p>
      <w:pPr>
        <w:pStyle w:val="referenceitem"/>
      </w:pPr>
      <w:r>
        <w:t>71. Wang, C., Li, X., Xu, H., et al. Towards practical quantum advantage with noise-intermediate scale superconducting quantum computing[J]. Science Bulletin, 2022, 67: 240-245.</w:t>
      </w:r>
    </w:p>
    <w:sectPr w:rsidR="00F5783C" w:rsidRPr="00606587" w:rsidSect="009F7FCE">
      <w:headerReference w:type="even" r:id="rId11"/>
      <w:headerReference w:type="default" r:id="rId12"/>
      <w:footerReference w:type="even" r:id="rId13"/>
      <w:footerReference w:type="default" r:id="rId14"/>
      <w:headerReference w:type="first" r:id="rId15"/>
      <w:footerReference w:type="first" r:id="rId16"/>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F7FCE" w:rsidRDefault="009F7FCE">
      <w:r>
        <w:separator/>
      </w:r>
    </w:p>
  </w:endnote>
  <w:endnote w:type="continuationSeparator" w:id="0">
    <w:p w:rsidR="009F7FCE" w:rsidRDefault="009F7F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F7FCE" w:rsidRDefault="009F7FCE" w:rsidP="009F7FCE">
      <w:pPr>
        <w:ind w:firstLine="0"/>
      </w:pPr>
      <w:r>
        <w:separator/>
      </w:r>
    </w:p>
  </w:footnote>
  <w:footnote w:type="continuationSeparator" w:id="0">
    <w:p w:rsidR="009F7FCE" w:rsidRDefault="009F7FCE"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B2539" w:rsidRDefault="009B2539" w:rsidP="00090B89">
    <w:pPr>
      <w:pStyle w:val="runningheadleft"/>
    </w:pPr>
    <w:r>
      <w:fldChar w:fldCharType="begin"/>
    </w:r>
    <w:r>
      <w:instrText>PAGE   \* MERGEFORMAT</w:instrText>
    </w:r>
    <w:r>
      <w:fldChar w:fldCharType="separate"/>
    </w:r>
    <w:r w:rsidR="00B23481" w:rsidRPr="00B23481">
      <w:rPr>
        <w:noProof/>
      </w:rPr>
      <w:t>2</w:t>
    </w:r>
    <w:r>
      <w:fldChar w:fldCharType="end"/>
    </w:r>
    <w:r w:rsidR="00090B89">
      <w:t xml:space="preserve"> </w:t>
    </w:r>
    <w:r w:rsidR="00090B89">
      <w:tab/>
      <w:t>F. Author and S. Author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0B89" w:rsidRPr="00090B89" w:rsidRDefault="00090B89" w:rsidP="00090B89">
    <w:pPr>
      <w:pStyle w:val="runningheadright"/>
    </w:pPr>
    <w:r>
      <w:tab/>
    </w:r>
    <w:r w:rsidRPr="00090B89">
      <w:t>Contribution Title (shortened if too long) </w:t>
    </w:r>
    <w:r>
      <w:tab/>
    </w:r>
    <w:r>
      <w:fldChar w:fldCharType="begin"/>
    </w:r>
    <w:r>
      <w:instrText>PAGE   \* MERGEFORMAT</w:instrText>
    </w:r>
    <w:r>
      <w:fldChar w:fldCharType="separate"/>
    </w:r>
    <w:r>
      <w:t>2</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0B89" w:rsidRDefault="00090B89" w:rsidP="00090B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0"/>
  </w:num>
  <w:num w:numId="2">
    <w:abstractNumId w:val="0"/>
  </w:num>
  <w:num w:numId="3">
    <w:abstractNumId w:val="1"/>
  </w:num>
  <w:num w:numId="4">
    <w:abstractNumId w:val="1"/>
  </w:num>
  <w:num w:numId="5">
    <w:abstractNumId w:val="3"/>
  </w:num>
  <w:num w:numId="6">
    <w:abstractNumId w:val="3"/>
  </w:num>
  <w:num w:numId="7">
    <w:abstractNumId w:val="2"/>
  </w:num>
  <w:num w:numId="8">
    <w:abstractNumId w:val="4"/>
  </w:num>
  <w:num w:numId="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6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95682A"/>
    <w:rsid w:val="009930E4"/>
    <w:rsid w:val="009B2539"/>
    <w:rsid w:val="009F7FCE"/>
    <w:rsid w:val="00A13D60"/>
    <w:rsid w:val="00B23481"/>
    <w:rsid w:val="00F321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ACF1C1"/>
  <w15:docId w15:val="{4350FD72-C282-4529-999A-E6627877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Times New Roman" w:eastAsiaTheme="Times New Roman" w:hAnsiTheme="Times New Roman" w:cs="Times New Roman"/>
        <w:sz w:val="20"/>
        <w:szCs w:val="20"/>
        <w:lang w:val="en-US" w:eastAsia="en-US" w:bidi="ar-SA"/>
      </w:rPr>
    </w:rPrDefault>
    <w:pPrDefault>
      <w:pPr>
        <w:spacing w:after="0" w:line="240" w:lineRule="atLeast"/>
      </w:pPr>
    </w:pPrDefault>
  </w:docDefaults>
  <w:latentStyles w:defLockedState="0" w:defUIPriority="0" w:defSemiHidden="1" w:defUnhideWhenUsed="0" w:defQFormat="0" w:count="267">
    <w:lsdException w:name="Normal" w:semiHidden="0" w:qFormat="1"/>
  </w:latentStyles>
  <w:style w:type="paragraph" w:default="1" w:styleId="Normal">
    <w:name w:val="Normal"/>
    <w:qFormat/>
    <w:rsid w:val="00CE7667"/>
    <w:pPr>
      <w:overflowPunct w:val="0"/>
      <w:autoSpaceDE w:val="0"/>
      <w:autoSpaceDN w:val="0"/>
      <w:adjustRightInd w:val="0"/>
      <w:spacing w:after="0" w:line="240" w:lineRule="atLeast"/>
      <w:ind w:firstLine="227"/>
      <w:jc w:val="both"/>
      <w:textAlignment w:val="baseline"/>
    </w:pPr>
    <w:rPr>
      <w:rFonts w:ascii="Times New Roman" w:eastAsia="Times New Roman" w:hAnsi="Times New Roman"/>
      <w:sz w:val="20"/>
      <w:szCs w:val="20"/>
      <w:lang w:val="en-US" w:eastAsia="en-US" w:bidi="ar-SA"/>
    </w:rPr>
  </w:style>
  <w:style w:type="character" w:default="1" w:styleId="Default Paragraph Font">
    <w:name w:val="Default Paragraph Font"/>
    <w:uiPriority w:val="1"/>
    <w:semiHidden/>
    <w:unhideWhenUsed/>
  </w:style>
  <w:style w:type="table" w:default="1" w:styleId="Normal Table">
    <w:name w:val="Normal Table"/>
    <w:uiPriority w:val="99"/>
    <w:semiHidden/>
    <w:unhideWhenUsed/>
    <w:tblPr>
      <w:tblInd w:w="0" w:type="dxa"/>
      <w:tblCellMar>
        <w:top w:w="57" w:type="dxa"/>
        <w:left w:w="57" w:type="dxa"/>
        <w:bottom w:w="57" w:type="dxa"/>
        <w:right w:w="57" w:type="dxa"/>
      </w:tblCellMar>
    </w:tblPr>
  </w:style>
  <w:style w:type="numbering" w:default="1" w:styleId="No 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 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 Paragraph 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 reference">
    <w:name w:val="footnote reference"/>
    <w:basedOn w:val="Default Paragraph Font"/>
    <w:semiHidden/>
    <w:unhideWhenUsed/>
    <w:rPr>
      <w:position w:val="0"/>
      <w:vertAlign w:val="superscript"/>
    </w:rPr>
  </w:style>
  <w:style w:type="paragraph" w:styleId="footer">
    <w:name w:val="footer"/>
    <w:basedOn w:val="Normal"/>
    <w:semiHidden/>
    <w:unhideWhenUsed/>
    <w:rPr>
      <w:rFonts w:ascii="Times New Roman" w:eastAsia="Times New Roman" w:hAnsi="Times New Roman"/>
      <w:sz w:val="20"/>
      <w:szCs w:val="20"/>
    </w:rPr>
  </w:style>
  <w:style w:type="paragraph" w:customStyle="1" w:styleId="heading1">
    <w:name w:val="heading1"/>
    <w:basedOn w:val="Normal"/>
    <w:next w:val="p1a"/>
    <w:qFormat/>
    <w:pPr>
      <w:keepNext/>
      <w:keepLines/>
      <w:suppressAutoHyphens/>
      <w:spacing w:before="360" w:after="240" w:line="300" w:lineRule="atLeast"/>
      <w:ind w:left="567" w:hanging="567"/>
      <w:jc w:val="left"/>
      <w:outlineLvl w:val="0"/>
      <w:numPr>
        <w:numId w:val="7"/>
      </w:numPr>
    </w:pPr>
    <w:rPr>
      <w:b/>
      <w:sz w:val="24"/>
    </w:rPr>
  </w:style>
  <w:style w:type="paragraph" w:styleId="heading 1">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customStyle="1" w:styleId="heading2">
    <w:name w:val="heading2"/>
    <w:basedOn w:val="Normal"/>
    <w:next w:val="p1a"/>
    <w:qFormat/>
    <w:pPr>
      <w:keepNext/>
      <w:keepLines/>
      <w:suppressAutoHyphens/>
      <w:spacing w:before="360" w:after="160"/>
      <w:ind w:left="567" w:hanging="567"/>
      <w:jc w:val="left"/>
      <w:outlineLvl w:val="1"/>
      <w:numPr>
        <w:ilvl w:val="1"/>
        <w:numId w:val="7"/>
      </w:numPr>
    </w:pPr>
    <w:rPr>
      <w:b/>
    </w:rPr>
  </w:style>
  <w:style w:type="paragraph" w:styleId="heading 2">
    <w:name w:val="heading 2"/>
    <w:basedOn w:val="Normal"/>
    <w:next w:val="p1a"/>
    <w:qFormat/>
    <w:semiHidden/>
    <w:unhideWhenUsed/>
    <w:pPr>
      <w:keepNext/>
      <w:keepLines/>
      <w:suppressAutoHyphens/>
      <w:spacing w:before="360" w:after="160"/>
      <w:ind w:left="567" w:hanging="567"/>
      <w:jc w:val="left"/>
      <w:outlineLvl w:val="1"/>
    </w:pPr>
    <w:rPr>
      <w:b/>
    </w:rPr>
  </w:style>
  <w:style w:type="paragraph" w:styleId="heading 3">
    <w:name w:val="heading 3"/>
    <w:basedOn w:val="Normal"/>
    <w:next w:val="Normal"/>
    <w:qFormat/>
    <w:pPr>
      <w:spacing w:before="360"/>
      <w:ind w:firstLine="0"/>
      <w:outlineLvl w:val="2"/>
      <w:b/>
    </w:pPr>
  </w:style>
  <w:style w:type="character" w:customStyle="1" w:styleId="heading3">
    <w:name w:val="heading3"/>
    <w:basedOn w:val="Default Paragraph Font"/>
    <w:rPr>
      <w:b/>
    </w:rPr>
  </w:style>
  <w:style w:type="paragraph" w:styleId="acknowlegments">
    <w:name w:val="acknowlegments"/>
    <w:basedOn w:val="Normal"/>
    <w:next w:val="acknowlegments"/>
    <w:qFormat/>
    <w:pPr>
      <w:spacing w:before="240"/>
      <w:ind w:firstLine="0"/>
      <w:spacing w:line="220" w:lineRule="atLeast"/>
      <w:b/>
    </w:pPr>
    <w:rPr>
      <w:sz w:val="18"/>
    </w:rPr>
  </w:style>
  <w:style w:type="paragraph" w:styleId="heading 4">
    <w:name w:val="heading 4"/>
    <w:basedOn w:val="Normal"/>
    <w:next w:val="Normal"/>
    <w:qFormat/>
    <w:pPr>
      <w:spacing w:before="240"/>
      <w:ind w:firstLine="0"/>
      <w:outlineLvl w:val="3"/>
      <w:i/>
    </w:pPr>
  </w:style>
  <w:style w:type="character" w:customStyle="1" w:styleId="heading4">
    <w:name w:val="heading4"/>
    <w:basedOn w:val="Default Paragraph Font"/>
    <w:rPr>
      <w:i/>
    </w:rPr>
  </w:style>
  <w:style w:type="numbering" w:customStyle="1" w:styleId="headings">
    <w:name w:val="headings"/>
    <w:basedOn w:val="arabnumitem"/>
    <w:pPr>
      <w:numPr>
        <w:numId w:val="7"/>
      </w:numPr>
    </w:pPr>
  </w:style>
  <w:style w:type="character" w:styleId="Hyperlink">
    <w:name w:val="Hyperlink"/>
    <w:basedOn w:val="Default Paragraph 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 List"/>
    <w:pPr>
      <w:numPr>
        <w:numId w:val="1"/>
      </w:numPr>
    </w:pPr>
  </w:style>
  <w:style w:type="numbering" w:customStyle="1" w:styleId="itemization2">
    <w:name w:val="itemization2"/>
    <w:basedOn w:val="No 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 List"/>
    <w:semiHidden/>
    <w:pPr>
      <w:numPr>
        <w:numId w:val="8"/>
      </w:numPr>
    </w:pPr>
  </w:style>
  <w:style w:type="paragraph" w:customStyle="1" w:styleId="runningheadleft">
    <w:name w:val="runninghead left"/>
    <w:basedOn w:val="Normal"/>
    <w:pPr>
      <w:ind w:firstLine="0"/>
      <w:jc w:val="left"/>
      <w:tabs>
        <w:tab w:val="left" w:pos="680"/>
      </w:tabs>
      <w:ind w:firstLine="0"/>
      <w:jc w:val="left"/>
    </w:pPr>
    <w:rPr>
      <w:sz w:val="18"/>
      <w:szCs w:val="18"/>
    </w:rPr>
  </w:style>
  <w:style w:type="paragraph" w:customStyle="1" w:styleId="runningheadright">
    <w:name w:val="runninghead right"/>
    <w:basedOn w:val="Normal"/>
    <w:pPr>
      <w:ind w:firstLine="0"/>
      <w:jc w:val="left"/>
      <w:tabs>
        <w:tab w:val="right" w:pos="6237"/>
        <w:tab w:val="right" w:pos="6917"/>
      </w:tabs>
      <w:ind w:firstLine="0"/>
      <w:jc w:val="left"/>
    </w:pPr>
    <w:rPr>
      <w:bCs/>
      <w:sz w:val="18"/>
      <w:szCs w:val="18"/>
    </w:rPr>
  </w:style>
  <w:style w:type="character" w:styleId="page number">
    <w:name w:val="page number"/>
    <w:basedOn w:val="Default Paragraph 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 Paragraph Font"/>
    <w:rPr>
      <w:rFonts w:ascii="Courier" w:hAnsi="Courier"/>
      <w:noProof/>
    </w:rPr>
  </w:style>
  <w:style w:type="character" w:customStyle="1" w:styleId="ORCID">
    <w:name w:val="ORCID"/>
    <w:basedOn w:val="Default Paragraph Font"/>
    <w:rPr>
      <w:position w:val="0"/>
      <w:vertAlign w:val="superscript"/>
    </w:rPr>
  </w:style>
  <w:style w:type="paragraph" w:styleId="footnote 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footer" Target="footer3.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www.springer.com/lncs" TargetMode="External"/><Relationship Id="rId4" Type="http://schemas.openxmlformats.org/officeDocument/2006/relationships/styles" Target="styles.xml"/><Relationship Id="rId9" Type="http://schemas.openxmlformats.org/officeDocument/2006/relationships/chart" Target="charts/chart1.xml"/><Relationship Id="rId14" Type="http://schemas.openxmlformats.org/officeDocument/2006/relationships/footer" Target="footer2.xml"/><Relationship Id="rId1"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s>
</file>

<file path=word/charts/_rels/chart1.xml.rels><?xml version='1.0' encoding='UTF-8' standalone='yes'?>
<Relationships xmlns="http://schemas.openxmlformats.org/package/2006/relationships"><Relationship Id="rId1" Type="http://schemas.openxmlformats.org/officeDocument/2006/relationships/oleObject" Target="file:///\\DISKSTATION\backup\Springer\LNCS%20Templates\2016\Tes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0778005922154201E-2"/>
          <c:y val="5.1400554097404488E-2"/>
          <c:w val="0.94049952150364025"/>
          <c:h val="0.8326195683872849"/>
        </c:manualLayout>
      </c:layout>
      <c:lineChart>
        <c:grouping val="standard"/>
        <c:varyColors val="0"/>
        <c:ser>
          <c:idx val="0"/>
          <c:order val="0"/>
          <c:tx>
            <c:strRef>
              <c:f>Tabelle1!$B$1</c:f>
              <c:strCache>
                <c:ptCount val="1"/>
                <c:pt idx="0">
                  <c:v>Data A</c:v>
                </c:pt>
              </c:strCache>
            </c:strRef>
          </c:tx>
          <c:spPr>
            <a:ln w="12700">
              <a:solidFill>
                <a:schemeClr val="tx1"/>
              </a:solidFill>
              <a:prstDash val="sysDash"/>
            </a:ln>
          </c:spPr>
          <c:marker>
            <c:symbol val="none"/>
          </c:marker>
          <c:dPt>
            <c:idx val="9"/>
            <c:bubble3D val="0"/>
            <c:extLst>
              <c:ext xmlns:c16="http://schemas.microsoft.com/office/drawing/2014/chart" uri="{C3380CC4-5D6E-409C-BE32-E72D297353CC}">
                <c16:uniqueId val="{00000000-BE4E-410B-82E8-D1B77A0F4C32}"/>
              </c:ext>
            </c:extLst>
          </c:dPt>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Tabelle1!$B$2:$B$32</c:f>
              <c:numCache>
                <c:formatCode>General</c:formatCode>
                <c:ptCount val="31"/>
                <c:pt idx="0">
                  <c:v>0</c:v>
                </c:pt>
                <c:pt idx="1">
                  <c:v>2</c:v>
                </c:pt>
                <c:pt idx="2">
                  <c:v>1</c:v>
                </c:pt>
                <c:pt idx="3">
                  <c:v>3</c:v>
                </c:pt>
                <c:pt idx="4">
                  <c:v>4</c:v>
                </c:pt>
                <c:pt idx="5">
                  <c:v>5</c:v>
                </c:pt>
                <c:pt idx="6">
                  <c:v>7</c:v>
                </c:pt>
                <c:pt idx="7">
                  <c:v>3</c:v>
                </c:pt>
                <c:pt idx="8">
                  <c:v>5</c:v>
                </c:pt>
                <c:pt idx="9">
                  <c:v>4</c:v>
                </c:pt>
                <c:pt idx="10">
                  <c:v>8</c:v>
                </c:pt>
                <c:pt idx="11">
                  <c:v>10</c:v>
                </c:pt>
                <c:pt idx="12">
                  <c:v>11</c:v>
                </c:pt>
                <c:pt idx="13">
                  <c:v>13</c:v>
                </c:pt>
                <c:pt idx="14">
                  <c:v>16</c:v>
                </c:pt>
                <c:pt idx="15">
                  <c:v>15</c:v>
                </c:pt>
                <c:pt idx="16">
                  <c:v>12</c:v>
                </c:pt>
                <c:pt idx="17">
                  <c:v>18</c:v>
                </c:pt>
                <c:pt idx="18">
                  <c:v>19</c:v>
                </c:pt>
                <c:pt idx="19">
                  <c:v>21</c:v>
                </c:pt>
                <c:pt idx="20">
                  <c:v>8</c:v>
                </c:pt>
                <c:pt idx="21">
                  <c:v>12</c:v>
                </c:pt>
                <c:pt idx="22">
                  <c:v>11</c:v>
                </c:pt>
                <c:pt idx="23">
                  <c:v>9</c:v>
                </c:pt>
                <c:pt idx="24">
                  <c:v>13</c:v>
                </c:pt>
                <c:pt idx="25">
                  <c:v>19</c:v>
                </c:pt>
                <c:pt idx="26">
                  <c:v>26</c:v>
                </c:pt>
                <c:pt idx="27">
                  <c:v>31</c:v>
                </c:pt>
                <c:pt idx="28">
                  <c:v>32</c:v>
                </c:pt>
                <c:pt idx="29">
                  <c:v>39</c:v>
                </c:pt>
                <c:pt idx="30">
                  <c:v>45</c:v>
                </c:pt>
              </c:numCache>
            </c:numRef>
          </c:val>
          <c:smooth val="0"/>
          <c:extLst>
            <c:ext xmlns:c16="http://schemas.microsoft.com/office/drawing/2014/chart" uri="{C3380CC4-5D6E-409C-BE32-E72D297353CC}">
              <c16:uniqueId val="{00000001-BE4E-410B-82E8-D1B77A0F4C32}"/>
            </c:ext>
          </c:extLst>
        </c:ser>
        <c:ser>
          <c:idx val="1"/>
          <c:order val="1"/>
          <c:tx>
            <c:strRef>
              <c:f>Tabelle1!$C$1</c:f>
              <c:strCache>
                <c:ptCount val="1"/>
                <c:pt idx="0">
                  <c:v>Data B</c:v>
                </c:pt>
              </c:strCache>
            </c:strRef>
          </c:tx>
          <c:spPr>
            <a:ln w="12700"/>
          </c:spPr>
          <c:marker>
            <c:symbol val="none"/>
          </c:marker>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Tabelle1!$C$2:$C$32</c:f>
              <c:numCache>
                <c:formatCode>General</c:formatCode>
                <c:ptCount val="31"/>
                <c:pt idx="0">
                  <c:v>16</c:v>
                </c:pt>
                <c:pt idx="1">
                  <c:v>13</c:v>
                </c:pt>
                <c:pt idx="2">
                  <c:v>14</c:v>
                </c:pt>
                <c:pt idx="3">
                  <c:v>15</c:v>
                </c:pt>
                <c:pt idx="4">
                  <c:v>17</c:v>
                </c:pt>
                <c:pt idx="5">
                  <c:v>16.5</c:v>
                </c:pt>
                <c:pt idx="6">
                  <c:v>18</c:v>
                </c:pt>
                <c:pt idx="7">
                  <c:v>19.3</c:v>
                </c:pt>
                <c:pt idx="8">
                  <c:v>12.4</c:v>
                </c:pt>
                <c:pt idx="9">
                  <c:v>14.6</c:v>
                </c:pt>
                <c:pt idx="10">
                  <c:v>16.5</c:v>
                </c:pt>
                <c:pt idx="11">
                  <c:v>15.3</c:v>
                </c:pt>
                <c:pt idx="12">
                  <c:v>14</c:v>
                </c:pt>
                <c:pt idx="13">
                  <c:v>14.7</c:v>
                </c:pt>
                <c:pt idx="14">
                  <c:v>13.9</c:v>
                </c:pt>
                <c:pt idx="15">
                  <c:v>12.2</c:v>
                </c:pt>
                <c:pt idx="16">
                  <c:v>16.8</c:v>
                </c:pt>
                <c:pt idx="17">
                  <c:v>17.100000000000001</c:v>
                </c:pt>
                <c:pt idx="18">
                  <c:v>19.2</c:v>
                </c:pt>
                <c:pt idx="19">
                  <c:v>18.25</c:v>
                </c:pt>
                <c:pt idx="20">
                  <c:v>22</c:v>
                </c:pt>
                <c:pt idx="21" formatCode="#.##000_ ;\-#.##000\ ">
                  <c:v>24</c:v>
                </c:pt>
                <c:pt idx="22" formatCode="#.##000_ ;\-#.##000\ ">
                  <c:v>25</c:v>
                </c:pt>
                <c:pt idx="23" formatCode="#.##000_ ;\-#.##000\ ">
                  <c:v>23.5</c:v>
                </c:pt>
                <c:pt idx="24" formatCode="#.##000_ ;\-#.##000\ ">
                  <c:v>21</c:v>
                </c:pt>
                <c:pt idx="25" formatCode="#.##000_ ;\-#.##000\ ">
                  <c:v>16.899999999999999</c:v>
                </c:pt>
                <c:pt idx="26" formatCode="#.##000_ ;\-#.##000\ ">
                  <c:v>17.5</c:v>
                </c:pt>
                <c:pt idx="27" formatCode="#.##000_ ;\-#.##000\ ">
                  <c:v>18.2</c:v>
                </c:pt>
                <c:pt idx="28" formatCode="#.##000_ ;\-#.##000\ ">
                  <c:v>19.100000000000001</c:v>
                </c:pt>
                <c:pt idx="29" formatCode="#.##000_ ;\-#.##000\ ">
                  <c:v>14.8</c:v>
                </c:pt>
                <c:pt idx="30" formatCode="#.##000_ ;\-#.##000\ ">
                  <c:v>15.2</c:v>
                </c:pt>
              </c:numCache>
            </c:numRef>
          </c:val>
          <c:smooth val="0"/>
          <c:extLst>
            <c:ext xmlns:c16="http://schemas.microsoft.com/office/drawing/2014/chart" uri="{C3380CC4-5D6E-409C-BE32-E72D297353CC}">
              <c16:uniqueId val="{00000002-BE4E-410B-82E8-D1B77A0F4C32}"/>
            </c:ext>
          </c:extLst>
        </c:ser>
        <c:dLbls>
          <c:showLegendKey val="0"/>
          <c:showVal val="0"/>
          <c:showCatName val="0"/>
          <c:showSerName val="0"/>
          <c:showPercent val="0"/>
          <c:showBubbleSize val="0"/>
        </c:dLbls>
        <c:smooth val="0"/>
        <c:axId val="45318528"/>
        <c:axId val="45321216"/>
      </c:lineChart>
      <c:catAx>
        <c:axId val="45318528"/>
        <c:scaling>
          <c:orientation val="minMax"/>
        </c:scaling>
        <c:delete val="0"/>
        <c:axPos val="b"/>
        <c:numFmt formatCode="General" sourceLinked="1"/>
        <c:majorTickMark val="out"/>
        <c:minorTickMark val="none"/>
        <c:tickLblPos val="nextTo"/>
        <c:crossAx val="45321216"/>
        <c:crosses val="autoZero"/>
        <c:auto val="1"/>
        <c:lblAlgn val="ctr"/>
        <c:lblOffset val="100"/>
        <c:tickLblSkip val="5"/>
        <c:noMultiLvlLbl val="0"/>
      </c:catAx>
      <c:valAx>
        <c:axId val="45321216"/>
        <c:scaling>
          <c:orientation val="minMax"/>
        </c:scaling>
        <c:delete val="0"/>
        <c:axPos val="l"/>
        <c:majorGridlines>
          <c:spPr>
            <a:ln>
              <a:noFill/>
            </a:ln>
          </c:spPr>
        </c:majorGridlines>
        <c:numFmt formatCode="General" sourceLinked="1"/>
        <c:majorTickMark val="out"/>
        <c:minorTickMark val="none"/>
        <c:tickLblPos val="nextTo"/>
        <c:crossAx val="45318528"/>
        <c:crossesAt val="1"/>
        <c:crossBetween val="midCat"/>
      </c:valAx>
    </c:plotArea>
    <c:legend>
      <c:legendPos val="r"/>
      <c:layout>
        <c:manualLayout>
          <c:xMode val="edge"/>
          <c:yMode val="edge"/>
          <c:x val="0.13960322214804829"/>
          <c:y val="0.16628280839895013"/>
          <c:w val="0.1903015956378338"/>
          <c:h val="0.16743438320209975"/>
        </c:manualLayout>
      </c:layout>
      <c:overlay val="0"/>
    </c:legend>
    <c:plotVisOnly val="1"/>
    <c:dispBlanksAs val="gap"/>
    <c:showDLblsOverMax val="0"/>
  </c:chart>
  <c:spPr>
    <a:ln>
      <a:noFill/>
    </a:ln>
  </c:spPr>
  <c:txPr>
    <a:bodyPr/>
    <a:lstStyle/>
    <a:p>
      <a:pPr>
        <a:defRPr sz="800"/>
      </a:pPr>
      <a:endParaRPr lang="de-DE"/>
    </a:p>
  </c:txPr>
  <c:externalData r:id="rId1">
    <c:autoUpdate val="0"/>
  </c:externalData>
</c:chartSpace>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0.ICO"/><Relationship Id="removespace" Type="http://schemas.openxmlformats.org/officeDocument/2006/relationships/image" Target="images/removespace0.ICO"/><Relationship Id="normal32" Type="http://schemas.openxmlformats.org/officeDocument/2006/relationships/image" Target="images/normal3200.ICO"/><Relationship Id="ORCID" Type="http://schemas.openxmlformats.org/officeDocument/2006/relationships/image" Target="images/ORCID0.ICO"/><Relationship Id="papertitle" Type="http://schemas.openxmlformats.org/officeDocument/2006/relationships/image" Target="images/papertitle.png"/><Relationship Id="addspace" Type="http://schemas.openxmlformats.org/officeDocument/2006/relationships/image" Target="images/addspace0.ICO"/><Relationship Id="arrowleft" Type="http://schemas.openxmlformats.org/officeDocument/2006/relationships/image" Target="images/arrowleft0.ICO"/><Relationship Id="bulletitem" Type="http://schemas.openxmlformats.org/officeDocument/2006/relationships/image" Target="images/bulletitem0.ICO"/><Relationship Id="togglenumbering" Type="http://schemas.openxmlformats.org/officeDocument/2006/relationships/image" Target="images/togglenumbering0.ICO"/><Relationship Id="eqnumber" Type="http://schemas.openxmlformats.org/officeDocument/2006/relationships/image" Target="images/eqnumber0.ICO"/><Relationship Id="normalspace" Type="http://schemas.openxmlformats.org/officeDocument/2006/relationships/image" Target="images/normalspace00.ICO"/><Relationship Id="abstract" Type="http://schemas.openxmlformats.org/officeDocument/2006/relationships/image" Target="images/abstract0.ICO"/><Relationship Id="arrowright" Type="http://schemas.openxmlformats.org/officeDocument/2006/relationships/image" Target="images/arrowright0.ICO"/><Relationship Id="equation" Type="http://schemas.openxmlformats.org/officeDocument/2006/relationships/image" Target="images/equation0.ICO"/><Relationship Id="RedoStyles" Type="http://schemas.openxmlformats.org/officeDocument/2006/relationships/image" Target="images/RedoStyles0.ICO"/><Relationship Id="TabCaption" Type="http://schemas.openxmlformats.org/officeDocument/2006/relationships/image" Target="images/TabCaption0.ICO"/><Relationship Id="InsertImage" Type="http://schemas.openxmlformats.org/officeDocument/2006/relationships/image" Target="images/InsertImage0.ICO"/><Relationship Id="squeeze" Type="http://schemas.openxmlformats.org/officeDocument/2006/relationships/image" Target="images/squeeze00.ICO"/><Relationship Id="expand" Type="http://schemas.openxmlformats.org/officeDocument/2006/relationships/image" Target="images/expand00.ICO"/><Relationship Id="dashitem" Type="http://schemas.openxmlformats.org/officeDocument/2006/relationships/image" Target="images/dashitem0.ICO"/><Relationship Id="numitem" Type="http://schemas.openxmlformats.org/officeDocument/2006/relationships/image" Target="images/numitem0.ICO"/><Relationship Id="papersubtitle" Type="http://schemas.openxmlformats.org/officeDocument/2006/relationships/image" Target="images/subtitle.png"/><Relationship Id="HeaderFooter" Type="http://schemas.openxmlformats.org/officeDocument/2006/relationships/image" Target="images/HeaderFooter0.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508</Words>
  <Characters>3022</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dataspect IT-Services, Neckargemuend, Germany</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Styles and macros for Springer Lecture Notes</dc:description>
  <cp:lastModifiedBy/>
  <cp:revision>3</cp:revision>
  <dcterms:created xsi:type="dcterms:W3CDTF">2023-10-25T07:01:00Z</dcterms:created>
  <dcterms:modified xsi:type="dcterms:W3CDTF">2023-10-25T07:01:00Z</dcterms:modified>
</cp:coreProperties>
</file>