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A Multi-Agent AI System for Autonomous Superconducting Quantum Chip Research</w:t>
      </w:r>
    </w:p>
    <w:p>
      <w:pPr>
        <w:pStyle w:val="author"/>
      </w:pPr>
      <w:r>
        <w:t>Wei Chen</w:t>
      </w:r>
      <w:r>
        <w:rPr>
          <w:vertAlign w:val="superscript"/>
        </w:rPr>
        <w:t>1</w:t>
      </w:r>
      <w:r>
        <w:t>, Ming Li</w:t>
      </w:r>
      <w:r>
        <w:rPr>
          <w:vertAlign w:val="superscript"/>
        </w:rPr>
        <w:t>1</w:t>
      </w:r>
      <w:r>
        <w:t>, Jian Zhang</w:t>
      </w:r>
      <w:r>
        <w:rPr>
          <w:vertAlign w:val="superscript"/>
        </w:rPr>
        <w:t>2</w:t>
      </w:r>
      <w:r>
        <w:t>, Yun Wang</w:t>
      </w:r>
      <w:r>
        <w:rPr>
          <w:vertAlign w:val="superscript"/>
        </w:rPr>
        <w:t>1</w:t>
      </w:r>
      <w:r>
        <w:t>, and Xiao Liu</w:t>
      </w:r>
      <w:r>
        <w:rPr>
          <w:vertAlign w:val="superscript"/>
        </w:rPr>
        <w:t>2</w:t>
      </w:r>
    </w:p>
    <w:p>
      <w:pPr>
        <w:pStyle w:val="address"/>
      </w:pPr>
      <w:r>
        <w:rPr>
          <w:vertAlign w:val="superscript"/>
        </w:rPr>
        <w:t>1</w:t>
      </w:r>
      <w:r>
        <w:t xml:space="preserve"> Institute of Quantum Computing, University of Science and Technology, Hefei 230026, China</w:t>
      </w:r>
    </w:p>
    <w:p>
      <w:pPr>
        <w:pStyle w:val="address"/>
      </w:pPr>
      <w:r>
        <w:rPr>
          <w:vertAlign w:val="superscript"/>
        </w:rPr>
        <w:t>2</w:t>
      </w:r>
      <w:r>
        <w:t xml:space="preserve"> Department of Electrical Engineering, Tsinghua University, Beijing 100084, China</w:t>
      </w:r>
    </w:p>
    <w:p>
      <w:pPr>
        <w:pStyle w:val="address"/>
      </w:pPr>
      <w:r>
        <w:t>{wei.chen, ming.li}@ustc.edu.cn, {jzhang, xliu}@tsinghua.edu.cn</w:t>
      </w:r>
    </w:p>
    <w:p>
      <w:pPr>
        <w:pStyle w:val="abstract"/>
      </w:pPr>
      <w:r>
        <w:rPr>
          <w:b/>
        </w:rPr>
        <w:t xml:space="preserve">Abstract. </w:t>
      </w:r>
      <w:r>
        <w:t>The design and characterization of superconducting quantum processors demands deep expertise spanning quantum physics, microwave engineering, materials science, and electronic design automation (EDA). Current workflows rely heavily on manual iteration between domain experts, creating bottlenecks that impede the pace of quantum hardware scaling. We present AetherQ, a multi-agent AI system that orchestrates twelve specialized large language model (LLM) agents to autonomously perform the full research cycle of superconducting quantum chip development, from Hamiltonian construction and noise modeling through experimental diagnosis, pulse optimization, and physical layout generation. AetherQ introduces a hierarchical planning-execution architecture in which a central Coordinator agent decomposes high-level research goals into sub-tasks, dispatches them to domain-specific agents (Theoretical Physicist, Experimentalist, Designer, etc.), and aggregates results through a structured tool-call protocol with graceful degradation. Each agent encapsulates domain knowledge within nine physics modules (M0 through M8) covering qubit parameter extraction, coupler analysis, noise budget decomposition, anomaly diagnosis, experiment planning, electromagnetic simulation orchestration, gate pulse optimization, design proposal synthesis, and GDS layout generation. We validate AetherQ on a 20-qubit transmon chip with tunable couplers, demonstrating autonomous Hamiltonian construction for 20 qubits and 19 couplers, noise budget analysis identifying dielectric loss (39.5%) and TLS defects (25.9%) as dominant T1 limiters, multi-hypothesis anomaly diagnosis across four failure modes, adaptive experiment planning under time-budget constraints, full-stack electromagnetic simulation (Q3D, LOM, EPR, eigenmode) for five qubits, and pulse optimization achieving predicted single-qubit gate fidelity of 99.925% and two-qubit CZ gate fidelity of 99.84%. To the best of our knowledge, AetherQ is the first system to unify LLM-based scientific reasoning with the complete superconducting quantum chip research pipeline, offering a new paradigm for AI-accelerated quantum hardware development.</w:t>
      </w:r>
    </w:p>
    <w:p>
      <w:pPr>
        <w:pStyle w:val="keywords"/>
      </w:pPr>
      <w:r>
        <w:rPr>
          <w:b/>
        </w:rPr>
        <w:t xml:space="preserve">Keywords: </w:t>
      </w:r>
      <w:r>
        <w:t>Superconducting qubits, Multi-agent systems, Large language models, Quantum chip design, Electronic design automation, Noise modeling, Pulse optimization</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validate AetherQ through six comprehensive experiments that cover the major stages of the quantum chip research pipeline. Each experiment is presented with its task specification, methodology, quantitative results, and analysis. All experiments are conducted on the 20-qubit transmon chip specification described in the previous section.</w:t>
      </w:r>
    </w:p>
    <w:p>
      <w:pPr>
        <w:pStyle w:val="heading2"/>
      </w:pPr>
      <w:r>
        <w:t>Experiment 1: Autonomous Hamiltonian Construction</w:t>
      </w:r>
    </w:p>
    <w:p>
      <w:pPr>
        <w:pStyle w:val="p1a"/>
      </w:pPr>
      <w:r>
        <w:t>Task. Construct the complete quantum Hamiltonian for a 20-qubit transmon chip with tunable couplers, including qubit parameters, coupling network, readout chain, and frequency collision analysis.</w:t>
      </w:r>
    </w:p>
    <w:p>
      <w:pPr>
        <w:pStyle w:val="p1a"/>
      </w:pPr>
      <w:r>
        <w:t>Method. The Coordinator dispatches the task to the Theoretical Physicist agent, which sequentially invokes modules M0 (qubit parameter extraction), M1 (coupling analysis), and M2 (readout analysis). The EPR quantization method is used with a truncation dimension of 4 and parasitic coupling enabled. The model is identified as ham_9a0ca1b4 with device graph dg_c119fea7.</w:t>
      </w:r>
    </w:p>
    <w:p>
      <w:pPr>
        <w:pStyle w:val="p1a"/>
      </w:pPr>
      <w:r>
        <w:t>Results. The system successfully constructs the full Hamiltonian model for 20 qubits and 19 couplers in a single autonomous run. Table 4 shows a representative subset of the extracted qubit parameters. Qubit frequencies range from 5.174 GHz (Q1) to 6.713 GHz (Q20), with EJ values between 13.778 GHz and 14.833 GHz and a uniform EC of 0.26 GHz. The system identifies six frequency collision warnings with HIGH severity, the most critical being Q16-Q17 with a detuning of only 1.1 MHz. The model sensitivity analysis reveals that the qubit frequency is most sensitive to EJ, with a sensitivity of approximately +0.03 GHz per 1% change in EJ, while the anharmonicity sensitivity to EC is approximately -1 MHz per 1% EC change.</w:t>
      </w:r>
    </w:p>
    <w:p>
      <w:pPr>
        <w:pStyle w:val="tablecaption"/>
        <w:jc w:val="center"/>
      </w:pPr>
      <w:r>
        <w:t>Table 4. Extracted qubit parameters for Q1-Q10 of the 20-qubit chip.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p1a"/>
      </w:pPr>
      <w:r>
        <w:t>Analysis. The Hamiltonian construction demonstrates several key capabilities of AetherQ. First, the system correctly applies the transmon approximation and validates its applicability by checking the EJ/EC ratio. Second, the coupling analysis reveals a wide range of coupling strengths (7.59-15.59 MHz) and ZZ interactions (-18.0 to -84.1 kHz), reflecting the non-uniform frequency distribution. Third, the frequency collision detection identifies six problematic qubit pairs, providing actionable information for design iteration. The system also verifies that the rotating wave approximation (RWA) and dispersive approximation remain valid, ensuring the theoretical model is self-consistent. The complete Hamiltonian construction, including all validation checks, is performed autonomously without human intervention, reducing what would typically require several hours of expert analysis to approximately two minutes of computation.</w:t>
      </w:r>
    </w:p>
    <w:p>
      <w:pPr>
        <w:pStyle w:val="heading2"/>
      </w:pPr>
      <w:r>
        <w:t>Experiment 2: Noise Budget Decomposition</w:t>
      </w:r>
    </w:p>
    <w:p>
      <w:pPr>
        <w:pStyle w:val="p1a"/>
      </w:pPr>
      <w:r>
        <w:t>Task. Decompose the measured T1 and T2 coherence times into contributions from individual noise mechanisms, construct a gate error budget, and identify the most impactful parameters for improvement.</w:t>
      </w:r>
    </w:p>
    <w:p>
      <w:pPr>
        <w:pStyle w:val="p1a"/>
      </w:pPr>
      <w:r>
        <w:t>Method. The Noise Analyst agent invokes Module M3, which takes the Hamiltonian model (ham_9a0ca1b4) and measured coherence times (T1 = 45 us, T2 = 30 us) as inputs. The analysis is performed at an operating temperature of 15 mK. The module computes individual T1 contributions using material-specific loss tangents and geometric participation ratios, and T2 contributions using measured noise power spectral densities.</w:t>
      </w:r>
    </w:p>
    <w:p>
      <w:pPr>
        <w:pStyle w:val="p1a"/>
      </w:pPr>
      <w:r>
        <w:t>Results. Table 5 presents the T1 and T2 noise budget decomposition. The theoretical total T1 is 30.0 us (measured 45.0 us), with the dominant contributions being dielectric loss (T1 = 76.0 us, 39.5% of total rate), TLS defects (T1 = 115.6 us, 25.9%), Purcell decay (T1 = 193.3 us, 15.5%), radiation loss (T1 = 255.9 us, 11.7%), and quasiparticle tunneling (T1 = 407.1 us, 7.4%). For T2, the theoretical total is 24.8 us (measured 30.0 us), with the T1-limited contribution at 60.0 us and the dominant pure dephasing mechanism being 1/f flux noise (T_phi = 56.1 us, 22.1%).</w:t>
      </w:r>
    </w:p>
    <w:p>
      <w:pPr>
        <w:pStyle w:val="tablecaption"/>
        <w:jc w:val="center"/>
      </w:pPr>
      <w:r>
        <w:t>Table 5. Noise budget decomposition for the 20-qubit chip at 15 mK operating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pStyle w:val="p1a"/>
      </w:pPr>
      <w:r>
        <w:t>The gate error budget analysis reveals that single-qubit gates are limited primarily by coherence (0.067% error), with smaller contributions from leakage (0.013%) and control errors (0.010%), yielding a total predicted error of 0.090%. Two-qubit CZ gates have a higher total error of 0.968%, dominated by coherence-limited error (0.667%), with significant contributions from flux noise dephasing (0.126%), leakage (0.122%), and residual ZZ interaction (0.053%). Figure 7 shows the noise budget breakdown visually.</w:t>
      </w:r>
    </w:p>
    <w:p>
      <w:pPr>
        <w:pStyle w:val="p1a"/>
        <w:jc w:val="center"/>
      </w:pPr>
      <w:r>
        <w:drawing>
          <wp:inline xmlns:a="http://schemas.openxmlformats.org/drawingml/2006/main" xmlns:pic="http://schemas.openxmlformats.org/drawingml/2006/picture">
            <wp:extent cx="4114800" cy="1855519"/>
            <wp:docPr id="6" name="Picture 6"/>
            <wp:cNvGraphicFramePr>
              <a:graphicFrameLocks noChangeAspect="1"/>
            </wp:cNvGraphicFramePr>
            <a:graphic>
              <a:graphicData uri="http://schemas.openxmlformats.org/drawingml/2006/picture">
                <pic:pic>
                  <pic:nvPicPr>
                    <pic:cNvPr id="0" name="fig7_noise_budget.png"/>
                    <pic:cNvPicPr/>
                  </pic:nvPicPr>
                  <pic:blipFill>
                    <a:blip r:embed="rId23"/>
                    <a:stretch>
                      <a:fillRect/>
                    </a:stretch>
                  </pic:blipFill>
                  <pic:spPr>
                    <a:xfrm>
                      <a:off x="0" y="0"/>
                      <a:ext cx="4114800" cy="1855519"/>
                    </a:xfrm>
                    <a:prstGeom prst="rect"/>
                  </pic:spPr>
                </pic:pic>
              </a:graphicData>
            </a:graphic>
          </wp:inline>
        </w:drawing>
      </w:r>
    </w:p>
    <w:p>
      <w:pPr>
        <w:pStyle w:val="figurecaption"/>
        <w:jc w:val="center"/>
      </w:pPr>
      <w:r>
        <w:t>Fig. 6. Noise budget decomposition showing relative contributions of each mechanism to T1 relaxation (left) and T2 decoherence (right). Dielectric loss and 1/f flux noise are the dominant limiters.</w:t>
      </w:r>
    </w:p>
    <w:p>
      <w:pPr>
        <w:pStyle w:val="p1a"/>
      </w:pPr>
      <w:r>
        <w:t>Analysis. The noise budget analysis provides several actionable insights. The discrepancy between measured T1 (45 us) and theoretical T1 (30 us) suggests that either some loss mechanisms are overestimated or there are compensating effects not captured by the model. The sensitivity analysis identifies that improving substrate cleanliness to reduce dielectric loss tangent could yield a 20% improvement in T1, while improving magnetic shielding to reduce flux noise amplitude could improve T2 by 30%. These recommendations are automatically incorporated into the design proposal generated by Module M8. The gate error budget reveals that two-qubit gate performance is the primary bottleneck, with coherence-limited error being the dominant contributor, consistent with the relatively modest T1 and T2 values. This analysis suggests that improving coherence times should be prioritized over gate calibration optimization for the next design iteration.</w:t>
      </w:r>
    </w:p>
    <w:p>
      <w:pPr>
        <w:pStyle w:val="heading2"/>
      </w:pPr>
      <w:r>
        <w:t>Experiment 3: Multi-Hypothesis Anomaly Diagnosis</w:t>
      </w:r>
    </w:p>
    <w:p>
      <w:pPr>
        <w:pStyle w:val="p1a"/>
      </w:pPr>
      <w:r>
        <w:t>Task. Diagnose the root causes of four common performance anomalies observed in superconducting quantum processors: elevated two-qubit gate error, T1 degradation, frequency drift, and high readout error.</w:t>
      </w:r>
    </w:p>
    <w:p>
      <w:pPr>
        <w:pStyle w:val="p1a"/>
      </w:pPr>
      <w:r>
        <w:t>Method. The Diagnostician agent invokes Module M4 for each anomaly type. The module applies Bayesian reasoning to generate ranked root cause hypotheses, each annotated with confidence scores, supporting evidence, contradicting evidence, and recommended verification experiments. The diagnosis integrates information from the Hamiltonian model, noise budget, and the specific observed metrics for each anomaly.</w:t>
      </w:r>
    </w:p>
    <w:p>
      <w:pPr>
        <w:pStyle w:val="p1a"/>
      </w:pPr>
      <w:r>
        <w:t>Results. Table 6 summarizes the diagnosis results for all four anomaly types. For elevated gate error (observed fidelity 98.5%), the top-ranked hypothesis is frequency collision near the CZ operating point (50% confidence), supported by evidence of avoided crossings in Chevron plots and elevated leakage measurements. The second-ranked hypothesis is flux bias line drift causing detuning fluctuations (35% confidence). For T1 degradation (observed T1 = 25 us, down from baseline), the primary hypothesis is surface dielectric loss degradation due to TLS activation (40% confidence), with Purcell enhancement (25%) and elevated quasiparticle concentration (20%) as alternatives.</w:t>
      </w:r>
    </w:p>
    <w:p>
      <w:pPr>
        <w:pStyle w:val="tablecaption"/>
        <w:jc w:val="center"/>
      </w:pPr>
      <w:r>
        <w:t>Table 6. Multi-hypothesis diagnosis results for four common anomaly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pStyle w:val="p1a"/>
      </w:pPr>
      <w:r>
        <w:t>For frequency drift (0.5 MHz/hour), the diagnosis identifies 1/f flux noise from surface magnetic defects as the primary cause (50% confidence), with slow TLS switching (25%) and bias source instability (15%) as alternatives. For high readout error (fidelity 96.5%), non-optimal readout power and frequency is the top hypothesis (35% confidence), followed by residual thermal excitation (30%) and amplification chain noise (20%). Each diagnosis includes a structured verification path that minimizes the number of experiments needed to disambiguate between hypotheses. The system also generates repair priority lists with three tiers: short-term (control parameter adjustment, low effort, medium gain), medium-term (coupler and readout chain optimization, medium effort, high gain), and long-term (chip redesign, high effort, high gain).</w:t>
      </w:r>
    </w:p>
    <w:p>
      <w:pPr>
        <w:pStyle w:val="p1a"/>
      </w:pPr>
      <w:r>
        <w:t>Analysis. The diagnosis framework demonstrates the value of structured reasoning about quantum hardware failures. By generating ranked hypotheses with explicit confidence scores and supporting evidence, AetherQ provides the experimentalist with a clear roadmap for investigation, rather than the ad hoc troubleshooting approach that is common in current practice. The verification experiments are designed to be maximally discriminative, targeting the specific predictions that distinguish between competing hypotheses. This approach can significantly reduce the time required to identify and resolve performance issues, which is often the most time-consuming phase of the quantum chip development cycle.</w:t>
      </w:r>
    </w:p>
    <w:p>
      <w:pPr>
        <w:pStyle w:val="heading2"/>
      </w:pPr>
      <w:r>
        <w:t>Experiment 4: Adaptive Experiment Planning</w:t>
      </w:r>
    </w:p>
    <w:p>
      <w:pPr>
        <w:pStyle w:val="p1a"/>
      </w:pPr>
      <w:r>
        <w:t>Task. Generate optimal experiment plans for three objectives: identifying dominant noise mechanisms, diagnosing gate errors, and optimizing readout performance, each under specified time budget constraints.</w:t>
      </w:r>
    </w:p>
    <w:p>
      <w:pPr>
        <w:pStyle w:val="p1a"/>
      </w:pPr>
      <w:r>
        <w:t>Method. The Experimentalist agent invokes Module M5 for each planning objective. The module considers the available experiment types, their expected information gain, duration requirements, and dependencies. Plans are generated with adaptive policies that allow early termination when sufficient confidence is achieved and dynamic re-prioritization based on intermediate results.</w:t>
      </w:r>
    </w:p>
    <w:p>
      <w:pPr>
        <w:pStyle w:val="p1a"/>
      </w:pPr>
      <w:r>
        <w:t>Results. Table 7 summarizes the three generated experiment plans. The noise identification plan (8-hour budget) schedules five experiments totaling 5.3 hours: T1 vs frequency sweep (60 min, highest priority for discriminating Purcell from dielectric loss), T2 Ramsey vs Echo comparison (30 min, separating low-frequency noise contributions), CPMG noise spectroscopy (90 min, extracting noise power spectral density), temperature-dependent T1 measurement (120 min, distinguishing quasiparticle from thermal photon contributions), and thermal excitation measurement (20 min, directly assessing effective temperature).</w:t>
      </w:r>
    </w:p>
    <w:p>
      <w:pPr>
        <w:pStyle w:val="tablecaption"/>
        <w:jc w:val="center"/>
      </w:pPr>
      <w:r>
        <w:t>Table 7. Summary of the three adaptive experiment plans generated by AetherQ.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pStyle w:val="p1a"/>
      </w:pPr>
      <w:r>
        <w:t>The gate error diagnosis plan (6-hour budget) includes interleaved randomized benchmarking (45 min), gate set tomography (180 min), high-resolution Chevron scanning (60 min), ZZ interaction measurement (30 min), and DRAG parameter optimization (30 min). The readout optimization plan (3-hour budget) is more compact, with readout power sweep and IQ analysis (30 min), readout frequency fine scan (30 min), and QND measurement test (45 min). All plans include the adaptive policy of updating posterior probabilities after each experiment and terminating early if the top hypothesis confidence exceeds 0.85.</w:t>
      </w:r>
    </w:p>
    <w:p>
      <w:pPr>
        <w:pStyle w:val="p1a"/>
      </w:pPr>
      <w:r>
        <w:t>Analysis. The experiment plans demonstrate AetherQ's ability to balance information gain against resource constraints. The noise identification plan allocates the most time to temperature-dependent measurements, which are slow but highly informative, while front-loading faster discriminative experiments. The gate diagnosis plan prioritizes the comprehensive but time-consuming gate set tomography, reflecting its high information content. The adaptive stopping criteria ensure that budget is not wasted on additional experiments once sufficient diagnostic confidence is achieved. Compared to a naive approach of running all possible experiments sequentially, AetherQ's prioritized plans can reduce total characterization time by an estimated 40-60% while maintaining diagnostic accuracy.</w:t>
      </w:r>
    </w:p>
    <w:p>
      <w:pPr>
        <w:pStyle w:val="heading2"/>
      </w:pPr>
      <w:r>
        <w:t>Experiment 5: Full-Stack Electromagnetic Simulation</w:t>
      </w:r>
    </w:p>
    <w:p>
      <w:pPr>
        <w:pStyle w:val="p1a"/>
      </w:pPr>
      <w:r>
        <w:t>Task. Perform a comprehensive electromagnetic simulation of five representative qubits (Q1-Q5) from the 20-qubit chip, including Q3D capacitance extraction, lumped oscillator modeling, energy participation ratio analysis, and eigenmode solving.</w:t>
      </w:r>
    </w:p>
    <w:p>
      <w:pPr>
        <w:pStyle w:val="p1a"/>
      </w:pPr>
      <w:r>
        <w:t>Method. The Simulation Engineer agent invokes Module M6, which orchestrates four simulation stages for each qubit. The Q3D stage extracts the self-capacitance and coupling capacitance matrices. The LOM stage converts capacitance values into circuit parameters (EC, EJ, frequency). The EPR stage computes the junction participation ratio, which determines the qubit-mode coupling strength and the T1 limit from dielectric loss. The eigenmode stage solves for the dressed mode frequencies and quality factors. Figure 8 compares the simulation results across the five qubits.</w:t>
      </w:r>
    </w:p>
    <w:p>
      <w:pPr>
        <w:pStyle w:val="p1a"/>
        <w:jc w:val="center"/>
      </w:pPr>
      <w:r>
        <w:drawing>
          <wp:inline xmlns:a="http://schemas.openxmlformats.org/drawingml/2006/main" xmlns:pic="http://schemas.openxmlformats.org/drawingml/2006/picture">
            <wp:extent cx="4114800" cy="1739735"/>
            <wp:docPr id="7" name="Picture 7"/>
            <wp:cNvGraphicFramePr>
              <a:graphicFrameLocks noChangeAspect="1"/>
            </wp:cNvGraphicFramePr>
            <a:graphic>
              <a:graphicData uri="http://schemas.openxmlformats.org/drawingml/2006/picture">
                <pic:pic>
                  <pic:nvPicPr>
                    <pic:cNvPr id="0" name="fig8_freq_comparison.png"/>
                    <pic:cNvPicPr/>
                  </pic:nvPicPr>
                  <pic:blipFill>
                    <a:blip r:embed="rId24"/>
                    <a:stretch>
                      <a:fillRect/>
                    </a:stretch>
                  </pic:blipFill>
                  <pic:spPr>
                    <a:xfrm>
                      <a:off x="0" y="0"/>
                      <a:ext cx="4114800" cy="1739735"/>
                    </a:xfrm>
                    <a:prstGeom prst="rect"/>
                  </pic:spPr>
                </pic:pic>
              </a:graphicData>
            </a:graphic>
          </wp:inline>
        </w:drawing>
      </w:r>
    </w:p>
    <w:p>
      <w:pPr>
        <w:pStyle w:val="figurecaption"/>
        <w:jc w:val="center"/>
      </w:pPr>
      <w:r>
        <w:t>Fig. 7. Comparison of eigenmode frequencies and Q-factors for qubits Q1-Q5. The frequency variation reflects the designed non-uniform distribution, while Q-factor variations indicate geometry-dependent loss mechanisms.</w:t>
      </w:r>
    </w:p>
    <w:p>
      <w:pPr>
        <w:pStyle w:val="tablecaption"/>
        <w:jc w:val="center"/>
      </w:pPr>
      <w:r>
        <w:t>Table 8. Full-stack electromagnetic simulation results for qubits Q1-Q5.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pStyle w:val="p1a"/>
      </w:pPr>
      <w:r>
        <w:t>Results. Table 8 presents the comprehensive simulation results. Self-capacitances range from 48.28 fF (Q4) to 66.48 fF (Q3), reflecting the variation in pad geometries. Nearest-neighbor coupling strengths vary from 1.07 MHz (Q3) to 4.27 MHz (Q1), indicating the sensitivity to coupler geometry. Junction participation ratios are consistently above 0.92, confirming that the Josephson junction dominates the circuit nonlinearity as required for transmon operation. The dielectric-limited T1 ranges from 150.0 us (Q1) to 356.6 us (Q4), setting an upper bound on the achievable coherence time in the absence of other loss mechanisms. Eigenmode frequencies range from 4.64 GHz (Q2) to 5.20 GHz (Q1) with quality factors between 44,907 and 65,095. Figure 9 visualizes the simulation workflow and intermediate results.</w:t>
      </w:r>
    </w:p>
    <w:p>
      <w:pPr>
        <w:pStyle w:val="p1a"/>
        <w:jc w:val="center"/>
      </w:pPr>
      <w:r>
        <w:drawing>
          <wp:inline xmlns:a="http://schemas.openxmlformats.org/drawingml/2006/main" xmlns:pic="http://schemas.openxmlformats.org/drawingml/2006/picture">
            <wp:extent cx="4114800" cy="1494400"/>
            <wp:docPr id="8" name="Picture 8"/>
            <wp:cNvGraphicFramePr>
              <a:graphicFrameLocks noChangeAspect="1"/>
            </wp:cNvGraphicFramePr>
            <a:graphic>
              <a:graphicData uri="http://schemas.openxmlformats.org/drawingml/2006/picture">
                <pic:pic>
                  <pic:nvPicPr>
                    <pic:cNvPr id="0" name="fig9_simulation.png"/>
                    <pic:cNvPicPr/>
                  </pic:nvPicPr>
                  <pic:blipFill>
                    <a:blip r:embed="rId25"/>
                    <a:stretch>
                      <a:fillRect/>
                    </a:stretch>
                  </pic:blipFill>
                  <pic:spPr>
                    <a:xfrm>
                      <a:off x="0" y="0"/>
                      <a:ext cx="4114800" cy="1494400"/>
                    </a:xfrm>
                    <a:prstGeom prst="rect"/>
                  </pic:spPr>
                </pic:pic>
              </a:graphicData>
            </a:graphic>
          </wp:inline>
        </w:drawing>
      </w:r>
    </w:p>
    <w:p>
      <w:pPr>
        <w:pStyle w:val="figurecaption"/>
        <w:jc w:val="center"/>
      </w:pPr>
      <w:r>
        <w:t>Fig. 8. Electromagnetic simulation workflow for a single qubit showing the four stages: Q3D capacitance extraction, LOM parameter computation, EPR junction participation analysis, and eigenmode frequency solving.</w:t>
      </w:r>
    </w:p>
    <w:p>
      <w:pPr>
        <w:pStyle w:val="p1a"/>
      </w:pPr>
      <w:r>
        <w:t>Analysis. The full-stack simulation demonstrates AetherQ's ability to orchestrate complex multi-stage workflows that require tight integration between different simulation engines. The variation in simulation results across the five qubits highlights the importance of simulating each qubit individually rather than relying on a single representative design. The discrepancy between the designed frequencies (5.17-5.59 GHz for Q1-Q5) and eigenmode frequencies (4.64-5.20 GHz) provides valuable feedback for the design iteration, indicating that parasitic capacitances and coupling effects shift the effective frequencies significantly. The T1 dielectric limits (150-357 us) are consistent with state-of-the-art transmon qubits fabricated on silicon substrates [3], validating the simulation methodology.</w:t>
      </w:r>
    </w:p>
    <w:p>
      <w:pPr>
        <w:pStyle w:val="heading2"/>
      </w:pPr>
      <w:r>
        <w:t>Experiment 6: Gate Pulse Optimization and Design Proposal</w:t>
      </w:r>
    </w:p>
    <w:p>
      <w:pPr>
        <w:pStyle w:val="p1a"/>
      </w:pPr>
      <w:r>
        <w:t>Task. Optimize single-qubit (X gate) and two-qubit (CZ gate) pulse parameters to maximize gate fidelity, and synthesize a comprehensive design improvement proposal.</w:t>
      </w:r>
    </w:p>
    <w:p>
      <w:pPr>
        <w:pStyle w:val="p1a"/>
      </w:pPr>
      <w:r>
        <w:t>Method. The Pulse Engineer agent invokes Module M7 for gate optimization. For the X gate, a Gaussian envelope with DRAG correction is used, with the DRAG coefficient optimized to minimize leakage to the second excited state. For the CZ gate, a flux pulse with net-zero constraint is optimized using the GRAPE algorithm to maximize fidelity while suppressing leakage and residual ZZ interaction. Both optimizations account for hardware constraints including AWG sampling rate (1 GSa/s), bandwidth limitation (500 MHz), minimum rise time (2 ns), and FPGA timing precision (1 ns). The Chip Designer agent then invokes Module M8 to synthesize a comprehensive design proposal incorporating all analysis results.</w:t>
      </w:r>
    </w:p>
    <w:p>
      <w:pPr>
        <w:pStyle w:val="p1a"/>
      </w:pPr>
      <w:r>
        <w:t>Results. The optimized X gate uses a 20 ns Gaussian+DRAG pulse with amplitude 0.1599 V and DRAG coefficient 0.46, achieving a predicted fidelity of 99.925% with leakage of 0.011% and a virtual Z correction of -0.0044 rad. The robustness analysis shows tolerance to frequency drift up to 1.11 MHz and amplitude errors up to 2.37%. The optimized CZ gate uses a 160 ns flux pulse with net-zero constraint, achieving a predicted fidelity of 99.84% with leakage of 0.22% and residual ZZ of 5.8 kHz. Phase corrections of 0.1342 rad (target qubit) and 0.0108 rad (spectator qubits) are applied. The frequency drift tolerance is 1.33 MHz with amplitude error tolerance of 2.12%.</w:t>
      </w:r>
    </w:p>
    <w:p>
      <w:pPr>
        <w:pStyle w:val="p1a"/>
      </w:pPr>
      <w:r>
        <w:t>The design proposal (prop_8993272b) targets gate fidelity of 99.9% and T1 of 80 us. The frequency planning recommends a non-uniform distribution spanning 4.8-5.5 GHz with minimum neighbor detuning of 150 MHz and readout resonator spacing of 20 MHz. The coupler optimization targets residual ZZ below 5 kHz with coupler frequencies in the 6.5-7.5 GHz range and coupling strengths of 12-18 MHz. Five layout modifications are recommended with prioritized implementation: increased airbridge density to suppress slot-line modes (high priority), optimized Purcell filter design to address the 15% T1 contribution (high priority), reduced SQUID loop area to decrease flux noise sensitivity (medium priority), improved substrate cleaning to reduce dielectric loss tangent (medium priority), and added package mode suppression structures (low priority).</w:t>
      </w:r>
    </w:p>
    <w:p>
      <w:pPr>
        <w:pStyle w:val="p1a"/>
      </w:pPr>
      <w:r>
        <w:t>The proposal includes a Pareto analysis across four optimization axes: coherence time (T1), gate speed, fabrication yield, and frequency crowding. The recommended operating point favors high T1 with moderate gate speed, reflecting the finding that the current performance bottleneck is coherence rather than gate speed. A three-phase implementation roadmap is provided: immediate actions (readout frequency adjustment, pulse parameter optimization, bias point tuning), medium-term improvements (coupler parameter adjustment, airbridge addition, filter chain improvement), and next-generation chip design (complete frequency replanning, new layout, new packaging). The risk assessment identifies junction parameter variability (~3% batch-to-batch) as the highest risk factor, with the mitigation strategy of reserving +/-50 MHz frequency tuning margin in the design.</w:t>
      </w:r>
    </w:p>
    <w:p>
      <w:pPr>
        <w:pStyle w:val="p1a"/>
      </w:pPr>
      <w:r>
        <w:t>Analysis. The pulse optimization results demonstrate that AetherQ can achieve near-state-of-the-art gate fidelities through systematic optimization within realistic hardware constraints. The predicted X gate fidelity of 99.925% approaches the coherence limit for the given T1 and T2 values, indicating that the DRAG optimization effectively suppresses leakage. The CZ gate fidelity of 99.84% is limited primarily by coherence, consistent with the noise budget analysis in Experiment 2. The design proposal synthesizes insights from all preceding experiments into a coherent improvement strategy, demonstrating the value of the integrated multi-agent approach. In a traditional workflow, generating such a comprehensive proposal would require extensive meetings between physicists, engineers, and designers; AetherQ produces it autonomously in a fraction of the time.</w:t>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