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tbl>
      <w:tblPr>
        <w:tblStyle w:val="TableGrid"/>
        <w:tblW w:w="10350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5670"/>
        <w:gridCol w:w="4680"/>
      </w:tblGrid>
      <w:tr>
        <w:trPr/>
        <w:tc>
          <w:tcPr>
            <w:cnfStyle w:val="101000000000"/>
            <w:tcW w:w="5670" w:type="dxa"/>
          </w:tcPr>
          <w:p w14:paraId="00000007">
            <w:pPr>
              <w:pStyle w:val="BodyText"/>
              <w:rPr>
                <w:sz w:val="30"/>
              </w:rPr>
            </w:pPr>
            <w:r>
              <w:rPr>
                <w:b/>
                <w:lang w:val="ru-RU"/>
              </w:rPr>
              <w:drawing xmlns:mc="http://schemas.openxmlformats.org/markup-compatibility/2006">
                <wp:inline distT="0" distB="0" distL="0" distR="0">
                  <wp:extent cx="3343275" cy="1289099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28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100000000000"/>
            <w:tcW w:w="4680" w:type="dxa"/>
          </w:tcPr>
          <w:p w14:paraId="00000008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00000009">
      <w:pPr>
        <w:spacing w:after="0" w:line="360" w:lineRule="auto"/>
        <w:jc w:val="right"/>
        <w:rPr>
          <w:rFonts w:ascii="Times New Roman" w:cs="Times New Roman" w:hAnsi="Times New Roman"/>
        </w:rPr>
      </w:pPr>
    </w:p>
    <w:p w14:paraId="0000000A">
      <w:pPr>
        <w:spacing w:after="0" w:line="360" w:lineRule="auto"/>
        <w:jc w:val="right"/>
        <w:rPr>
          <w:rFonts w:ascii="Times New Roman" w:cs="Times New Roman" w:hAnsi="Times New Roman"/>
        </w:rPr>
      </w:pPr>
    </w:p>
    <w:p w14:paraId="0000000B">
      <w:pPr>
        <w:spacing w:after="0" w:line="360" w:lineRule="auto"/>
        <w:jc w:val="right"/>
        <w:rPr>
          <w:rFonts w:ascii="Times New Roman" w:cs="Times New Roman" w:eastAsia="Arial Unicode MS" w:hAnsi="Times New Roman"/>
          <w:sz w:val="72"/>
          <w:szCs w:val="72"/>
        </w:rPr>
      </w:pPr>
    </w:p>
    <w:p w14:paraId="0000000C">
      <w:pPr>
        <w:spacing w:after="0" w:line="360" w:lineRule="auto"/>
        <w:jc w:val="right"/>
        <w:rPr>
          <w:rFonts w:ascii="Times New Roman" w:cs="Times New Roman" w:eastAsia="Arial Unicode MS" w:hAnsi="Times New Roman"/>
          <w:sz w:val="72"/>
          <w:szCs w:val="72"/>
        </w:rPr>
      </w:pPr>
    </w:p>
    <w:p w14:paraId="0000000D">
      <w:pPr>
        <w:spacing w:after="0" w:line="360" w:lineRule="auto"/>
        <w:jc w:val="right"/>
        <w:rPr>
          <w:rFonts w:ascii="Times New Roman" w:cs="Times New Roman" w:eastAsia="Arial Unicode MS" w:hAnsi="Times New Roman"/>
          <w:b/>
          <w:sz w:val="40"/>
          <w:szCs w:val="40"/>
        </w:rPr>
      </w:pPr>
      <w:r>
        <w:rPr>
          <w:rFonts w:ascii="Times New Roman" w:cs="Times New Roman" w:eastAsia="Arial Unicode MS" w:hAnsi="Times New Roman"/>
          <w:b/>
          <w:sz w:val="40"/>
          <w:szCs w:val="40"/>
        </w:rPr>
        <w:t>КОНКУРСНОЕ ЗАДАНИЕ КОМПЕТЕНЦИИ</w:t>
      </w:r>
    </w:p>
    <w:p w14:paraId="0000000E">
      <w:pPr>
        <w:spacing w:after="0" w:line="360" w:lineRule="auto"/>
        <w:jc w:val="center"/>
        <w:rPr>
          <w:rFonts w:ascii="Times New Roman" w:cs="Times New Roman" w:eastAsia="Arial Unicode MS" w:hAnsi="Times New Roman"/>
          <w:b/>
          <w:sz w:val="40"/>
          <w:szCs w:val="40"/>
        </w:rPr>
      </w:pPr>
      <w:r>
        <w:rPr>
          <w:rFonts w:ascii="Times New Roman" w:cs="Times New Roman" w:eastAsia="Arial Unicode MS" w:hAnsi="Times New Roman"/>
          <w:b/>
          <w:sz w:val="40"/>
          <w:szCs w:val="40"/>
        </w:rPr>
        <w:t>«</w:t>
      </w:r>
      <w:r>
        <w:rPr>
          <w:rFonts w:ascii="Times New Roman" w:cs="Times New Roman" w:eastAsia="Arial Unicode MS" w:hAnsi="Times New Roman"/>
          <w:sz w:val="40"/>
          <w:szCs w:val="40"/>
        </w:rPr>
        <w:t>Цифровая трансформация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>»</w:t>
      </w:r>
    </w:p>
    <w:p w14:paraId="0000000F">
      <w:pPr>
        <w:spacing w:after="0" w:line="360" w:lineRule="auto"/>
        <w:jc w:val="center"/>
        <w:rPr>
          <w:rFonts w:ascii="Times New Roman" w:cs="Times New Roman" w:eastAsia="Arial Unicode MS" w:hAnsi="Times New Roman"/>
          <w:b/>
          <w:sz w:val="40"/>
          <w:szCs w:val="40"/>
        </w:rPr>
      </w:pPr>
      <w:r>
        <w:rPr>
          <w:rFonts w:ascii="Times New Roman" w:cs="Times New Roman" w:eastAsia="Arial Unicode MS" w:hAnsi="Times New Roman"/>
          <w:b/>
          <w:i/>
          <w:sz w:val="40"/>
          <w:szCs w:val="40"/>
        </w:rPr>
        <w:t xml:space="preserve">Регионального этапа 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 xml:space="preserve"> чемпионата по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> 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 xml:space="preserve">профессиональному мастерству «Профессионалы» 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 xml:space="preserve">в </w:t>
      </w:r>
      <w:r>
        <w:rPr>
          <w:rFonts w:ascii="Times New Roman" w:cs="Times New Roman" w:eastAsia="Arial Unicode MS" w:hAnsi="Times New Roman"/>
          <w:b/>
          <w:bCs/>
          <w:sz w:val="40"/>
          <w:szCs w:val="40"/>
        </w:rPr>
        <w:t>2026</w:t>
      </w:r>
      <w:r>
        <w:rPr>
          <w:rFonts w:ascii="Times New Roman" w:cs="Times New Roman" w:eastAsia="Arial Unicode MS" w:hAnsi="Times New Roman"/>
          <w:sz w:val="40"/>
          <w:szCs w:val="40"/>
        </w:rPr>
        <w:t xml:space="preserve"> </w:t>
      </w:r>
      <w:r>
        <w:rPr>
          <w:rFonts w:ascii="Times New Roman" w:cs="Times New Roman" w:eastAsia="Arial Unicode MS" w:hAnsi="Times New Roman"/>
          <w:b/>
          <w:sz w:val="40"/>
          <w:szCs w:val="40"/>
        </w:rPr>
        <w:t>г.</w:t>
      </w:r>
    </w:p>
    <w:p w14:paraId="00000010">
      <w:pPr>
        <w:spacing w:after="0" w:line="360" w:lineRule="auto"/>
        <w:jc w:val="center"/>
        <w:rPr>
          <w:rFonts w:ascii="Times New Roman" w:cs="Times New Roman" w:eastAsia="Arial Unicode MS" w:hAnsi="Times New Roman"/>
          <w:sz w:val="40"/>
          <w:szCs w:val="40"/>
        </w:rPr>
      </w:pPr>
      <w:r>
        <w:rPr>
          <w:rFonts w:ascii="Times New Roman" w:cs="Times New Roman" w:eastAsia="Arial Unicode MS" w:hAnsi="Times New Roman"/>
          <w:sz w:val="40"/>
          <w:szCs w:val="40"/>
        </w:rPr>
        <w:t>_________________________________________</w:t>
      </w:r>
    </w:p>
    <w:p w14:paraId="00000011">
      <w:pPr>
        <w:spacing w:after="0" w:line="360" w:lineRule="auto"/>
        <w:jc w:val="center"/>
        <w:rPr>
          <w:rFonts w:ascii="Times New Roman" w:cs="Times New Roman" w:hAnsi="Times New Roman"/>
          <w:lang w:bidi="en-US"/>
        </w:rPr>
      </w:pPr>
      <w:r>
        <w:rPr>
          <w:rFonts w:ascii="Times New Roman" w:cs="Times New Roman" w:hAnsi="Times New Roman"/>
          <w:lang w:bidi="en-US"/>
        </w:rPr>
        <w:t>(субъект РФ)</w:t>
      </w:r>
    </w:p>
    <w:p w14:paraId="00000012">
      <w:pPr>
        <w:spacing w:after="0" w:line="360" w:lineRule="auto"/>
        <w:jc w:val="center"/>
        <w:rPr>
          <w:rFonts w:ascii="Times New Roman" w:cs="Times New Roman" w:eastAsia="Arial Unicode MS" w:hAnsi="Times New Roman"/>
          <w:sz w:val="72"/>
          <w:szCs w:val="72"/>
        </w:rPr>
      </w:pPr>
    </w:p>
    <w:p w14:paraId="00000013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4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5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6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7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8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9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A">
      <w:pPr>
        <w:spacing w:after="0" w:line="360" w:lineRule="auto"/>
        <w:rPr>
          <w:rFonts w:ascii="Times New Roman" w:cs="Times New Roman" w:hAnsi="Times New Roman"/>
          <w:lang w:bidi="en-US"/>
        </w:rPr>
      </w:pPr>
    </w:p>
    <w:p w14:paraId="0000001B">
      <w:pPr>
        <w:spacing w:after="0" w:line="360" w:lineRule="auto"/>
        <w:jc w:val="center"/>
        <w:rPr>
          <w:rFonts w:ascii="Times New Roman" w:cs="Times New Roman" w:hAnsi="Times New Roman"/>
          <w:sz w:val="28"/>
          <w:szCs w:val="28"/>
          <w:lang w:bidi="en-US"/>
        </w:rPr>
      </w:pPr>
      <w:r>
        <w:rPr>
          <w:rFonts w:ascii="Times New Roman" w:cs="Times New Roman" w:hAnsi="Times New Roman"/>
          <w:sz w:val="28"/>
          <w:szCs w:val="28"/>
          <w:lang w:bidi="en-US"/>
        </w:rPr>
        <w:t>202</w:t>
      </w:r>
      <w:r>
        <w:rPr>
          <w:rFonts w:ascii="Times New Roman" w:cs="Times New Roman" w:hAnsi="Times New Roman"/>
          <w:sz w:val="28"/>
          <w:szCs w:val="28"/>
          <w:lang w:bidi="en-US"/>
        </w:rPr>
        <w:t>6</w:t>
      </w:r>
      <w:r>
        <w:rPr>
          <w:rFonts w:ascii="Times New Roman" w:cs="Times New Roman" w:hAnsi="Times New Roman"/>
          <w:sz w:val="28"/>
          <w:szCs w:val="28"/>
          <w:lang w:bidi="en-US"/>
        </w:rPr>
        <w:t xml:space="preserve"> г.</w:t>
      </w:r>
    </w:p>
    <w:p w14:paraId="0000001C">
      <w:pPr>
        <w:pStyle w:val="Основнойтекст(14)_3"/>
        <w:shd w:val="clear" w:color="auto" w:fill="auto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bidi="en-US"/>
        </w:rPr>
      </w:pPr>
      <w:r>
        <w:rPr>
          <w:rFonts w:ascii="Times New Roman" w:cs="Times New Roman" w:hAnsi="Times New Roman"/>
          <w:sz w:val="28"/>
          <w:szCs w:val="28"/>
          <w:lang w:bidi="en-US"/>
        </w:rPr>
        <w:t>Конкурсное задание разработано экспертным сообществом и утверждено Менеджером компетенции,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мастерству.</w:t>
      </w:r>
    </w:p>
    <w:p w14:paraId="0000001D">
      <w:pPr>
        <w:pStyle w:val="Основнойтекст(14)_3"/>
        <w:shd w:val="clear" w:color="auto" w:fill="auto"/>
        <w:spacing w:line="360" w:lineRule="auto"/>
        <w:ind w:firstLine="0"/>
        <w:rPr>
          <w:rFonts w:ascii="Times New Roman" w:cs="Times New Roman" w:eastAsia="Times New Roman" w:hAnsi="Times New Roman"/>
          <w:szCs w:val="24"/>
        </w:rPr>
      </w:pPr>
    </w:p>
    <w:p w14:paraId="0000001E">
      <w:pPr>
        <w:pStyle w:val="Bullet"/>
        <w:numPr>
          <w:ilvl w:val="0"/>
          <w:numId w:val="0"/>
        </w:numPr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 задание включает в себя следующие разделы:</w:t>
      </w:r>
    </w:p>
    <w:p w14:paraId="0000001F">
      <w:pPr>
        <w:pStyle w:val="Bullet"/>
        <w:numPr>
          <w:ilvl w:val="0"/>
          <w:numId w:val="0"/>
        </w:numPr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00000020">
      <w:pPr>
        <w:pStyle w:val="Toc1"/>
        <w:rPr>
          <w:rFonts w:ascii="Times New Roman" w:eastAsiaTheme="minorEastAsia" w:hAnsi="Times New Roman"/>
          <w:bCs w:val="off"/>
          <w:sz w:val="28"/>
          <w:lang w:val="ru-RU" w:eastAsia="ru-RU"/>
        </w:rPr>
      </w:pPr>
      <w:r>
        <w:rPr>
          <w:rStyle w:val="Hyperlink"/>
          <w:rFonts w:ascii="Times New Roman" w:hAnsi="Times New Roman"/>
          <w:sz w:val="28"/>
        </w:rPr>
        <w:fldChar w:fldCharType="begin"/>
      </w:r>
      <w:r>
        <w:rPr>
          <w:rStyle w:val="Hyperlink"/>
          <w:rFonts w:ascii="Times New Roman" w:hAnsi="Times New Roman"/>
          <w:sz w:val="28"/>
        </w:rPr>
        <w:instrText xml:space="preserve"> TOC \o "1-2" \h \z \u </w:instrText>
      </w:r>
      <w:r>
        <w:rPr>
          <w:rStyle w:val="Hyperlink"/>
          <w:rFonts w:ascii="Times New Roman" w:hAnsi="Times New Roman"/>
          <w:sz w:val="28"/>
        </w:rPr>
        <w:fldChar w:fldCharType="separate"/>
      </w:r>
      <w:r>
        <w:rPr>
          <w:rStyle w:val="Hyperlink"/>
          <w:rFonts w:ascii="Times New Roman" w:hAnsi="Times New Roman"/>
          <w:sz w:val="28"/>
        </w:rPr>
        <w:fldChar w:fldCharType="begin"/>
      </w:r>
      <w:r>
        <w:rPr>
          <w:rStyle w:val="Hyperlink"/>
          <w:rFonts w:ascii="Times New Roman" w:hAnsi="Times New Roman"/>
          <w:sz w:val="28"/>
        </w:rPr>
        <w:instrText xml:space="preserve">HYPERLINK \l "_Toc192873673" </w:instrText>
      </w:r>
      <w:r>
        <w:rPr>
          <w:rStyle w:val="Hyperlink"/>
          <w:rFonts w:ascii="Times New Roman" w:hAnsi="Times New Roman"/>
          <w:sz w:val="28"/>
        </w:rPr>
        <w:fldChar w:fldCharType="separate"/>
      </w:r>
      <w:r>
        <w:rPr>
          <w:rStyle w:val="Hyperlink"/>
          <w:rFonts w:ascii="Times New Roman" w:hAnsi="Times New Roman"/>
          <w:sz w:val="28"/>
        </w:rPr>
        <w:t>1. ОСНОВНЫЕ ТРЕБОВАНИЯ КОМПЕТЕНЦИИ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 PAGEREF _Toc192873673 \h 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3</w:t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</w:p>
    <w:p w14:paraId="00000021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"_Toc192873674"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1.1. Общие сведения о требованиях компетенции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2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"_Toc192873675"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1.2. Перечень профессиональных задач специалиста по компетенции «</w:t>
      </w:r>
      <w:r>
        <w:rPr>
          <w:rStyle w:val="Hyperlink"/>
          <w:sz w:val="28"/>
          <w:szCs w:val="28"/>
        </w:rPr>
        <w:t>Ц</w:t>
      </w:r>
      <w:r>
        <w:rPr>
          <w:rStyle w:val="Hyperlink"/>
          <w:sz w:val="28"/>
          <w:szCs w:val="28"/>
        </w:rPr>
        <w:t>ифровая трансформация»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3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"_Toc192873676"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1.3. Требования к схеме оценки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4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"_Toc192873677"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1.4. Спецификация оценки компетенции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5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"_Toc192873678"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 xml:space="preserve">1.5. </w:t>
      </w:r>
      <w:r>
        <w:rPr>
          <w:rStyle w:val="Hyperlink"/>
          <w:sz w:val="28"/>
          <w:szCs w:val="28"/>
        </w:rPr>
        <w:t>Содержание к</w:t>
      </w:r>
      <w:r>
        <w:rPr>
          <w:rStyle w:val="Hyperlink"/>
          <w:sz w:val="28"/>
          <w:szCs w:val="28"/>
        </w:rPr>
        <w:t>онкурсно</w:t>
      </w:r>
      <w:r>
        <w:rPr>
          <w:rStyle w:val="Hyperlink"/>
          <w:sz w:val="28"/>
          <w:szCs w:val="28"/>
        </w:rPr>
        <w:t>го</w:t>
      </w:r>
      <w:r>
        <w:rPr>
          <w:rStyle w:val="Hyperlink"/>
          <w:sz w:val="28"/>
          <w:szCs w:val="28"/>
        </w:rPr>
        <w:t xml:space="preserve"> задани</w:t>
      </w:r>
      <w:r>
        <w:rPr>
          <w:rStyle w:val="Hyperlink"/>
          <w:sz w:val="28"/>
          <w:szCs w:val="28"/>
        </w:rPr>
        <w:t>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6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"_Toc192873679"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1.5.1. Разработка/выбор конкурсного задания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_Toc192873679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7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"_Toc192873680"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1.5.2. Структура модулей конкурсного задания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8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bCs/>
          <w:sz w:val="28"/>
          <w:szCs w:val="28"/>
        </w:rPr>
        <w:fldChar w:fldCharType="begin"/>
      </w:r>
      <w:r>
        <w:rPr>
          <w:rStyle w:val="Hyperlink"/>
          <w:bCs/>
          <w:sz w:val="28"/>
          <w:szCs w:val="28"/>
        </w:rPr>
        <w:instrText xml:space="preserve">HYPERLINK \l "_Toc192873681" </w:instrText>
      </w:r>
      <w:r>
        <w:rPr>
          <w:rStyle w:val="Hyperlink"/>
          <w:bCs/>
          <w:sz w:val="28"/>
          <w:szCs w:val="28"/>
        </w:rPr>
        <w:fldChar w:fldCharType="separate"/>
      </w:r>
      <w:r>
        <w:rPr>
          <w:rStyle w:val="Hyperlink"/>
          <w:bCs/>
          <w:sz w:val="28"/>
          <w:szCs w:val="28"/>
        </w:rPr>
        <w:t>модуль а.</w:t>
      </w:r>
      <w:r>
        <w:rPr>
          <w:rStyle w:val="Hyperlink"/>
          <w:sz w:val="28"/>
          <w:szCs w:val="28"/>
        </w:rPr>
        <w:t xml:space="preserve"> Моделирование (инвариант)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9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bCs/>
          <w:sz w:val="28"/>
          <w:szCs w:val="28"/>
        </w:rPr>
        <w:fldChar w:fldCharType="begin"/>
      </w:r>
      <w:r>
        <w:rPr>
          <w:rStyle w:val="Hyperlink"/>
          <w:bCs/>
          <w:sz w:val="28"/>
          <w:szCs w:val="28"/>
        </w:rPr>
        <w:instrText xml:space="preserve">HYPERLINK \l "_Toc192873682" </w:instrText>
      </w:r>
      <w:r>
        <w:rPr>
          <w:rStyle w:val="Hyperlink"/>
          <w:bCs/>
          <w:sz w:val="28"/>
          <w:szCs w:val="28"/>
        </w:rPr>
        <w:fldChar w:fldCharType="separate"/>
      </w:r>
      <w:r>
        <w:rPr>
          <w:rStyle w:val="Hyperlink"/>
          <w:bCs/>
          <w:sz w:val="28"/>
          <w:szCs w:val="28"/>
        </w:rPr>
        <w:t>модуль б.</w:t>
      </w:r>
      <w:r>
        <w:rPr>
          <w:rStyle w:val="Hyperlink"/>
          <w:sz w:val="28"/>
          <w:szCs w:val="28"/>
        </w:rPr>
        <w:t xml:space="preserve"> Проектирование (инвариант)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A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bCs/>
          <w:sz w:val="28"/>
          <w:szCs w:val="28"/>
        </w:rPr>
        <w:fldChar w:fldCharType="begin"/>
      </w:r>
      <w:r>
        <w:rPr>
          <w:rStyle w:val="Hyperlink"/>
          <w:bCs/>
          <w:sz w:val="28"/>
          <w:szCs w:val="28"/>
        </w:rPr>
        <w:instrText xml:space="preserve">HYPERLINK \l "_Toc192873683" </w:instrText>
      </w:r>
      <w:r>
        <w:rPr>
          <w:rStyle w:val="Hyperlink"/>
          <w:bCs/>
          <w:sz w:val="28"/>
          <w:szCs w:val="28"/>
        </w:rPr>
        <w:fldChar w:fldCharType="separate"/>
      </w:r>
      <w:r>
        <w:rPr>
          <w:rStyle w:val="Hyperlink"/>
          <w:bCs/>
          <w:sz w:val="28"/>
          <w:szCs w:val="28"/>
        </w:rPr>
        <w:t>Модуль В.</w:t>
      </w:r>
      <w:r>
        <w:rPr>
          <w:rStyle w:val="Hyperlink"/>
          <w:sz w:val="28"/>
          <w:szCs w:val="28"/>
        </w:rPr>
        <w:t xml:space="preserve"> Документирование (инвариант)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B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bCs/>
          <w:sz w:val="28"/>
          <w:szCs w:val="28"/>
        </w:rPr>
        <w:fldChar w:fldCharType="begin"/>
      </w:r>
      <w:r>
        <w:rPr>
          <w:rStyle w:val="Hyperlink"/>
          <w:bCs/>
          <w:sz w:val="28"/>
          <w:szCs w:val="28"/>
        </w:rPr>
        <w:instrText xml:space="preserve">HYPERLINK \l "_Toc192873684" </w:instrText>
      </w:r>
      <w:r>
        <w:rPr>
          <w:rStyle w:val="Hyperlink"/>
          <w:bCs/>
          <w:sz w:val="28"/>
          <w:szCs w:val="28"/>
        </w:rPr>
        <w:fldChar w:fldCharType="separate"/>
      </w:r>
      <w:r>
        <w:rPr>
          <w:rStyle w:val="Hyperlink"/>
          <w:bCs/>
          <w:sz w:val="28"/>
          <w:szCs w:val="28"/>
        </w:rPr>
        <w:t>Модуль Г.</w:t>
      </w:r>
      <w:r>
        <w:rPr>
          <w:rStyle w:val="Hyperlink"/>
          <w:sz w:val="28"/>
          <w:szCs w:val="28"/>
        </w:rPr>
        <w:t xml:space="preserve"> Разработка (вариатив)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C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"_Toc192873685"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Модуль Д. Внедрение (вариатив)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D">
      <w:pPr>
        <w:pStyle w:val="Toc1"/>
        <w:rPr>
          <w:rFonts w:ascii="Times New Roman" w:eastAsiaTheme="minorEastAsia" w:hAnsi="Times New Roman"/>
          <w:bCs w:val="off"/>
          <w:sz w:val="28"/>
          <w:lang w:val="ru-RU" w:eastAsia="ru-RU"/>
        </w:rPr>
      </w:pPr>
      <w:r>
        <w:rPr>
          <w:rStyle w:val="Hyperlink"/>
          <w:rFonts w:ascii="Times New Roman" w:hAnsi="Times New Roman"/>
          <w:sz w:val="28"/>
        </w:rPr>
        <w:fldChar w:fldCharType="begin"/>
      </w:r>
      <w:r>
        <w:rPr>
          <w:rStyle w:val="Hyperlink"/>
          <w:rFonts w:ascii="Times New Roman" w:hAnsi="Times New Roman"/>
          <w:sz w:val="28"/>
        </w:rPr>
        <w:instrText xml:space="preserve">HYPERLINK \l "_Toc192873686" </w:instrText>
      </w:r>
      <w:r>
        <w:rPr>
          <w:rStyle w:val="Hyperlink"/>
          <w:rFonts w:ascii="Times New Roman" w:hAnsi="Times New Roman"/>
          <w:sz w:val="28"/>
        </w:rPr>
        <w:fldChar w:fldCharType="separate"/>
      </w:r>
      <w:r>
        <w:rPr>
          <w:rStyle w:val="Hyperlink"/>
          <w:rFonts w:ascii="Times New Roman" w:hAnsi="Times New Roman"/>
          <w:sz w:val="28"/>
        </w:rPr>
        <w:t>2. СПЕЦИАЛЬНЫЕ ПРАВИЛА КОМПЕТЕНЦИИ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 PAGEREF _Toc192873686 \h 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15</w:t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</w:p>
    <w:p w14:paraId="0000002E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"_Toc192873687"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2.1. Личный инструмент конкурсанта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17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2F">
      <w:pPr>
        <w:pStyle w:val="Toc2"/>
        <w:spacing w:line="360" w:lineRule="auto"/>
        <w:rPr>
          <w:rFonts w:eastAsiaTheme="minorEastAsia"/>
          <w:sz w:val="28"/>
          <w:szCs w:val="28"/>
        </w:rPr>
      </w:pPr>
      <w:r>
        <w:rPr>
          <w:rStyle w:val="Hyperlink"/>
          <w:sz w:val="28"/>
          <w:szCs w:val="28"/>
        </w:rPr>
        <w:fldChar w:fldCharType="begin"/>
      </w:r>
      <w:r>
        <w:rPr>
          <w:rStyle w:val="Hyperlink"/>
          <w:sz w:val="28"/>
          <w:szCs w:val="28"/>
        </w:rPr>
        <w:instrText xml:space="preserve">HYPERLINK \l "_Toc192873688" 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2.2.</w:t>
      </w:r>
      <w:r>
        <w:rPr>
          <w:rStyle w:val="Hyperlink"/>
          <w:i/>
          <w:sz w:val="28"/>
          <w:szCs w:val="28"/>
        </w:rPr>
        <w:t xml:space="preserve"> </w:t>
      </w:r>
      <w:r>
        <w:rPr>
          <w:rStyle w:val="Hyperlink"/>
          <w:sz w:val="28"/>
          <w:szCs w:val="28"/>
        </w:rPr>
        <w:t>Материалы, оборудование и инструменты, запрещенные на площадке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_Toc192873688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18</w:t>
      </w:r>
      <w:r>
        <w:rPr>
          <w:rFonts w:eastAsiaTheme="minorEastAsia"/>
          <w:sz w:val="28"/>
          <w:szCs w:val="28"/>
        </w:rPr>
        <w:fldChar w:fldCharType="end"/>
      </w:r>
      <w:r>
        <w:rPr>
          <w:rFonts w:eastAsiaTheme="minorEastAsia"/>
          <w:sz w:val="28"/>
          <w:szCs w:val="28"/>
        </w:rPr>
        <w:fldChar w:fldCharType="end"/>
      </w:r>
    </w:p>
    <w:p w14:paraId="00000030">
      <w:pPr>
        <w:pStyle w:val="Toc1"/>
        <w:rPr>
          <w:rFonts w:ascii="Times New Roman" w:eastAsiaTheme="minorEastAsia" w:hAnsi="Times New Roman"/>
          <w:bCs w:val="off"/>
          <w:sz w:val="28"/>
          <w:lang w:val="ru-RU" w:eastAsia="ru-RU"/>
        </w:rPr>
      </w:pPr>
      <w:r>
        <w:rPr>
          <w:rStyle w:val="Hyperlink"/>
          <w:rFonts w:ascii="Times New Roman" w:hAnsi="Times New Roman"/>
          <w:sz w:val="28"/>
        </w:rPr>
        <w:fldChar w:fldCharType="begin"/>
      </w:r>
      <w:r>
        <w:rPr>
          <w:rStyle w:val="Hyperlink"/>
          <w:rFonts w:ascii="Times New Roman" w:hAnsi="Times New Roman"/>
          <w:sz w:val="28"/>
        </w:rPr>
        <w:instrText xml:space="preserve">HYPERLINK \l "_Toc192873689" </w:instrText>
      </w:r>
      <w:r>
        <w:rPr>
          <w:rStyle w:val="Hyperlink"/>
          <w:rFonts w:ascii="Times New Roman" w:hAnsi="Times New Roman"/>
          <w:sz w:val="28"/>
        </w:rPr>
        <w:fldChar w:fldCharType="separate"/>
      </w:r>
      <w:r>
        <w:rPr>
          <w:rStyle w:val="Hyperlink"/>
          <w:rFonts w:ascii="Times New Roman" w:hAnsi="Times New Roman"/>
          <w:sz w:val="28"/>
        </w:rPr>
        <w:t>3. ПРИЛОЖЕНИЯ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 PAGEREF _Toc192873689 \h 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18</w:t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  <w:r>
        <w:rPr>
          <w:rFonts w:ascii="Times New Roman" w:eastAsiaTheme="minorEastAsia" w:hAnsi="Times New Roman"/>
          <w:bCs w:val="off"/>
          <w:sz w:val="28"/>
          <w:lang w:val="ru-RU" w:eastAsia="ru-RU"/>
        </w:rPr>
        <w:fldChar w:fldCharType="end"/>
      </w:r>
    </w:p>
    <w:p w14:paraId="00000031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Cs/>
          <w:sz w:val="24"/>
          <w:szCs w:val="20"/>
          <w:lang w:val="ru-RU" w:eastAsia="ru-RU"/>
        </w:rPr>
        <w:fldChar w:fldCharType="end"/>
      </w:r>
    </w:p>
    <w:p w14:paraId="00000032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0000033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0000034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0000035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0000036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0000037">
      <w:pPr>
        <w:pStyle w:val="!Заголовок-1"/>
        <w:spacing w:after="0"/>
        <w:jc w:val="center"/>
        <w:rPr>
          <w:rFonts w:ascii="Times New Roman" w:hAnsi="Times New Roman"/>
          <w:color w:val="auto"/>
          <w:sz w:val="34"/>
          <w:szCs w:val="34"/>
        </w:rPr>
      </w:pPr>
      <w:bookmarkStart w:id="0" w:name="_Toc192873673"/>
      <w:r>
        <w:rPr>
          <w:rFonts w:ascii="Times New Roman" w:hAnsi="Times New Roman"/>
          <w:color w:val="auto"/>
          <w:sz w:val="28"/>
          <w:szCs w:val="28"/>
        </w:rPr>
        <w:t>1.</w:t>
      </w:r>
      <w:r>
        <w:rPr>
          <w:rFonts w:ascii="Times New Roman" w:hAnsi="Times New Roman"/>
          <w:color w:val="auto"/>
          <w:sz w:val="34"/>
          <w:szCs w:val="34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ОСНОВНЫЕ ТРЕБОВАНИЯ КОМПЕТЕНЦИИ</w:t>
      </w:r>
      <w:bookmarkEnd w:id="0"/>
    </w:p>
    <w:p w14:paraId="00000038">
      <w:pPr>
        <w:pStyle w:val="!заголовок-2"/>
        <w:spacing w:after="240"/>
        <w:jc w:val="center"/>
        <w:rPr>
          <w:rFonts w:ascii="Times New Roman" w:hAnsi="Times New Roman"/>
          <w:sz w:val="24"/>
        </w:rPr>
      </w:pPr>
      <w:bookmarkStart w:id="1" w:name="_Toc192873674"/>
      <w:r>
        <w:rPr>
          <w:rFonts w:ascii="Times New Roman" w:hAnsi="Times New Roman"/>
          <w:sz w:val="24"/>
        </w:rPr>
        <w:t>1.1. ОБЩИЕ СВЕДЕНИЯ О ТРЕБОВАНИЯХ КОМПЕТЕНЦИИ</w:t>
      </w:r>
      <w:bookmarkEnd w:id="1"/>
    </w:p>
    <w:p w14:paraId="00000039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Требования компетенции (ТК) «</w:t>
      </w:r>
      <w:r>
        <w:rPr>
          <w:rFonts w:ascii="Times New Roman" w:cs="Times New Roman" w:hAnsi="Times New Roman"/>
          <w:sz w:val="28"/>
          <w:szCs w:val="28"/>
        </w:rPr>
        <w:t>Цифровая трансформация</w:t>
      </w:r>
      <w:r>
        <w:rPr>
          <w:rFonts w:ascii="Times New Roman" w:cs="Times New Roman" w:hAnsi="Times New Roman"/>
          <w:sz w:val="28"/>
          <w:szCs w:val="28"/>
        </w:rPr>
        <w:t xml:space="preserve">» </w:t>
      </w:r>
      <w:bookmarkStart w:id="2" w:name="_Hlk123050441"/>
      <w:r>
        <w:rPr>
          <w:rFonts w:ascii="Times New Roman" w:cs="Times New Roman" w:hAnsi="Times New Roman"/>
          <w:sz w:val="28"/>
          <w:szCs w:val="28"/>
        </w:rPr>
        <w:t>определяют знания, умения, навыки и трудовые функции</w:t>
      </w:r>
      <w:bookmarkEnd w:id="2"/>
      <w:r>
        <w:rPr>
          <w:rFonts w:ascii="Times New Roman" w:cs="Times New Roman" w:hAnsi="Times New Roman"/>
          <w:sz w:val="28"/>
          <w:szCs w:val="28"/>
        </w:rPr>
        <w:t xml:space="preserve">, которые лежат в основе наиболее актуальных требований работодателей отрасли. </w:t>
      </w:r>
    </w:p>
    <w:p w14:paraId="0000003A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 w14:paraId="0000003B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 w14:paraId="0000003C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 w14:paraId="0000003D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 w14:paraId="0000003E">
      <w:pPr>
        <w:pStyle w:val="!заголовок-2"/>
        <w:ind w:firstLine="709"/>
        <w:jc w:val="center"/>
        <w:rPr>
          <w:rFonts w:ascii="Times New Roman" w:hAnsi="Times New Roman"/>
          <w:sz w:val="24"/>
        </w:rPr>
      </w:pPr>
      <w:bookmarkStart w:id="3" w:name="_Toc78885652"/>
      <w:bookmarkStart w:id="4" w:name="_Toc192873675"/>
      <w:r>
        <w:rPr>
          <w:rFonts w:ascii="Times New Roman" w:hAnsi="Times New Roman"/>
          <w:sz w:val="24"/>
        </w:rPr>
        <w:t>1.</w:t>
      </w:r>
      <w:bookmarkEnd w:id="3"/>
      <w:r>
        <w:rPr>
          <w:rFonts w:ascii="Times New Roman" w:hAnsi="Times New Roman"/>
          <w:sz w:val="24"/>
        </w:rPr>
        <w:t>2. ПЕРЕЧЕНЬ ПРОФЕССИОНАЛЬНЫХ ЗАДАЧ СПЕЦИАЛИСТА ПО КОМПЕТЕНЦИИ «</w:t>
      </w:r>
      <w:r>
        <w:rPr>
          <w:rFonts w:ascii="Times New Roman" w:hAnsi="Times New Roman"/>
          <w:szCs w:val="28"/>
        </w:rPr>
        <w:t>Цифровая трансформация</w:t>
      </w:r>
      <w:r>
        <w:rPr>
          <w:rFonts w:ascii="Times New Roman" w:hAnsi="Times New Roman"/>
          <w:sz w:val="24"/>
        </w:rPr>
        <w:t>»</w:t>
      </w:r>
      <w:bookmarkEnd w:id="4"/>
    </w:p>
    <w:p w14:paraId="0000003F">
      <w:pPr>
        <w:spacing w:after="0" w:line="240" w:lineRule="auto"/>
        <w:jc w:val="right"/>
        <w:rPr>
          <w:rFonts w:ascii="Times New Roman" w:cs="Times New Roman" w:hAnsi="Times New Roman"/>
          <w:i/>
          <w:iCs/>
          <w:sz w:val="20"/>
          <w:szCs w:val="20"/>
        </w:rPr>
      </w:pPr>
      <w:r>
        <w:rPr>
          <w:rFonts w:ascii="Times New Roman" w:cs="Times New Roman" w:hAnsi="Times New Roman"/>
          <w:i/>
          <w:iCs/>
          <w:sz w:val="20"/>
          <w:szCs w:val="20"/>
        </w:rPr>
        <w:t>Таблица №1</w:t>
      </w:r>
    </w:p>
    <w:p w14:paraId="00000040">
      <w:pPr>
        <w:spacing w:after="0" w:line="240" w:lineRule="auto"/>
        <w:jc w:val="right"/>
        <w:rPr>
          <w:rFonts w:ascii="Times New Roman" w:cs="Times New Roman" w:hAnsi="Times New Roman"/>
          <w:i/>
          <w:iCs/>
          <w:sz w:val="20"/>
          <w:szCs w:val="20"/>
        </w:rPr>
      </w:pPr>
    </w:p>
    <w:p w14:paraId="0000004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/>
      </w:tblPr>
      <w:tblGrid>
        <w:gridCol w:w="729"/>
        <w:gridCol w:w="7200"/>
        <w:gridCol w:w="240"/>
        <w:gridCol w:w="1459"/>
      </w:tblGrid>
      <w:tr>
        <w:trPr/>
        <w:tc>
          <w:tcPr>
            <w:cnfStyle w:val="000000100000"/>
            <w:tcW w:w="379" w:type="pct"/>
            <w:shd w:val="clear" w:color="auto" w:fill="92d050"/>
            <w:vAlign w:val="center"/>
          </w:tcPr>
          <w:p w14:paraId="00000042"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  <w:t>№ п/п</w:t>
            </w:r>
          </w:p>
        </w:tc>
        <w:tc>
          <w:tcPr>
            <w:cnfStyle w:val="000000100000"/>
            <w:tcW w:w="3863" w:type="pct"/>
            <w:gridSpan w:val="2"/>
            <w:shd w:val="clear" w:color="auto" w:fill="92d050"/>
            <w:vAlign w:val="center"/>
          </w:tcPr>
          <w:p w14:paraId="00000043"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color w:val="ffffff"/>
                <w:sz w:val="24"/>
                <w:szCs w:val="24"/>
                <w:highlight w:val="green"/>
              </w:rPr>
            </w:pPr>
            <w:r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  <w:t>Профессиональные навыки</w:t>
            </w:r>
          </w:p>
        </w:tc>
        <w:tc>
          <w:tcPr>
            <w:cnfStyle w:val="000000100000"/>
            <w:tcW w:w="758" w:type="pct"/>
            <w:shd w:val="clear" w:color="auto" w:fill="92d050"/>
            <w:vAlign w:val="center"/>
          </w:tcPr>
          <w:p w14:paraId="00000044"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  <w:t>Важность в %</w:t>
            </w:r>
          </w:p>
        </w:tc>
      </w:tr>
      <w:tr>
        <w:trPr/>
        <w:tc>
          <w:tcPr>
            <w:cnfStyle w:val="00000001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45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3863" w:type="pct"/>
            <w:gridSpan w:val="2"/>
            <w:shd w:val="clear" w:color="auto" w:fill="auto"/>
            <w:vAlign w:val="center"/>
          </w:tcPr>
          <w:p w14:paraId="00000046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Организация безопасной работы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и бережливое производство</w:t>
            </w:r>
          </w:p>
        </w:tc>
        <w:tc>
          <w:tcPr>
            <w:cnfStyle w:val="000000010000"/>
            <w:tcW w:w="758" w:type="pct"/>
            <w:shd w:val="clear" w:color="auto" w:fill="auto"/>
            <w:vAlign w:val="center"/>
          </w:tcPr>
          <w:p w14:paraId="00000047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48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4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Специалист должен знать и понимать: </w:t>
            </w:r>
          </w:p>
          <w:p w14:paraId="0000004A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инструкцию по охране труда и технике безопасности; </w:t>
            </w:r>
          </w:p>
          <w:p w14:paraId="0000004B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Санитарные правила СП 2.2.3670-20 "Санитарно-эпидемиологические требования к условиям труда"; </w:t>
            </w:r>
          </w:p>
          <w:p w14:paraId="0000004C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требования ГОСТ Р 52872-2019 "Интернет-ресурсы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жизнедеятельности"; </w:t>
            </w:r>
          </w:p>
          <w:p w14:paraId="0000004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основные правила цифровой гигиены; </w:t>
            </w:r>
          </w:p>
          <w:p w14:paraId="0000004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современные методы аутентификации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0000004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потерь (муда) в ИТ-процессах и разработке ПО (незавершенная работа, лишние функции, ожидания, переключения между задачами, дефекты);</w:t>
            </w:r>
          </w:p>
          <w:p w14:paraId="00000050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методы и подходы непрерывного улучшения (Kaizen) и их применимость к совершенствованию ИТ-сервисов и процессов разработки;</w:t>
            </w:r>
          </w:p>
          <w:p w14:paraId="00000051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ключевые метрики эффективности (KPI) ИТ-процессов, такие как время цикла (Cycle Time), время выполнения заказа (Lead Time), эффективность (Throughput);</w:t>
            </w:r>
          </w:p>
          <w:p w14:paraId="00000052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концепцию "Вытягивающего производства" (Pull System) и ее реализацию в ИТ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53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4">
            <w:pPr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55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безопасно эксплуатировать и настраивать компьютерную технику; </w:t>
            </w:r>
          </w:p>
          <w:p w14:paraId="00000056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минимизировать вред своему здоровью при использовании компьютерной техники; </w:t>
            </w:r>
          </w:p>
          <w:p w14:paraId="00000057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разрабатывать и применять нормы в области безопасной эксплуатации компьютерной техники; </w:t>
            </w:r>
          </w:p>
          <w:p w14:paraId="00000058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обеспечивать конфиденциальность данных;</w:t>
            </w:r>
          </w:p>
          <w:p w14:paraId="00000059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применять требования законодательства и отраслевые стандарты; </w:t>
            </w:r>
          </w:p>
          <w:p w14:paraId="0000005A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формулировать требования и нормы информационной безопасности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;</w:t>
            </w:r>
          </w:p>
          <w:p w14:paraId="0000005B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инструменты управления работами (например, Kanban/Scrum-доски)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;</w:t>
            </w:r>
          </w:p>
          <w:p w14:paraId="0000005C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выявлять и анализировать потери в ежедневной работе (например, избыточные согласования, ожидание сборок/тестов, рутинные операции);</w:t>
            </w:r>
          </w:p>
          <w:p w14:paraId="0000005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применять инструменты визуализации рабочих процессов (канбан-доски) для управления потоком задач и ограничения незавершенной работы (WIP);</w:t>
            </w:r>
          </w:p>
          <w:p w14:paraId="0000005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проводить анализ и оптимизацию рабочих процессов, используя методы картирования потока создания ценности (Value Stream Mapping) для ИТ-услуг;</w:t>
            </w:r>
          </w:p>
          <w:p w14:paraId="0000005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систематически выявлять "узкие места" (bottlenecks) в процессах разработки и эксплуатации и предлагать варианты их устранения;</w:t>
            </w:r>
          </w:p>
          <w:p w14:paraId="00000060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участвовать в мероприятиях по непрерывному улучшению (Kaizen-ивентах), генерируя и реализуя предложения по оптимизации инструментов, процессов и качества кода.</w:t>
            </w:r>
          </w:p>
        </w:tc>
      </w:tr>
      <w:tr>
        <w:trPr/>
        <w:tc>
          <w:tcPr>
            <w:cnfStyle w:val="00000010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61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3739" w:type="pct"/>
            <w:shd w:val="clear" w:color="auto" w:fill="auto"/>
            <w:vAlign w:val="center"/>
          </w:tcPr>
          <w:p w14:paraId="00000062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Поиск и обработка данных и информации</w:t>
            </w:r>
          </w:p>
        </w:tc>
        <w:tc>
          <w:tcPr>
            <w:cnfStyle w:val="000000100000"/>
            <w:tcW w:w="882" w:type="pct"/>
            <w:gridSpan w:val="2"/>
            <w:shd w:val="clear" w:color="auto" w:fill="auto"/>
            <w:vAlign w:val="center"/>
          </w:tcPr>
          <w:p w14:paraId="00000063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64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shd w:val="clear" w:color="auto" w:fill="auto"/>
            <w:vAlign w:val="center"/>
          </w:tcPr>
          <w:p w14:paraId="0000006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Специалист должен знать и понимать:</w:t>
            </w:r>
          </w:p>
          <w:p w14:paraId="00000066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каналы и информационные ресурсы поиска юридической информации; </w:t>
            </w:r>
          </w:p>
          <w:p w14:paraId="00000067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каналы и информационные ресурсы поиска патентов; </w:t>
            </w:r>
          </w:p>
          <w:p w14:paraId="00000068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формальной логики и принципы работы с информацией; </w:t>
            </w:r>
          </w:p>
          <w:p w14:paraId="00000069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стандарты оформления документации, в том числе ГОСТ Р 7.0.97-2016.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6A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6B">
            <w:pPr>
              <w:spacing w:after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6C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находить требуемую информацию из открытых источников; </w:t>
            </w:r>
          </w:p>
          <w:p w14:paraId="0000006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коммуницировать с экспертами; </w:t>
            </w:r>
          </w:p>
          <w:p w14:paraId="0000006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контролировать достоверность информации; </w:t>
            </w:r>
          </w:p>
          <w:p w14:paraId="0000006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анализировать документы и иные источники информации; </w:t>
            </w:r>
          </w:p>
          <w:p w14:paraId="00000070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восполнять факты в условиях отсутствия открытых источников; </w:t>
            </w:r>
          </w:p>
          <w:p w14:paraId="00000071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сопоставлять факты и делать выводы; </w:t>
            </w:r>
          </w:p>
          <w:p w14:paraId="00000072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представлять информацию в соответствии с предъявляемыми требованиями.</w:t>
            </w:r>
          </w:p>
        </w:tc>
      </w:tr>
      <w:tr>
        <w:trPr/>
        <w:tc>
          <w:tcPr>
            <w:cnfStyle w:val="00000001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73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3739" w:type="pct"/>
            <w:shd w:val="clear" w:color="auto" w:fill="auto"/>
            <w:vAlign w:val="center"/>
          </w:tcPr>
          <w:p w14:paraId="00000074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Использование информационных технологий</w:t>
            </w:r>
          </w:p>
        </w:tc>
        <w:tc>
          <w:tcPr>
            <w:cnfStyle w:val="000000010000"/>
            <w:tcW w:w="882" w:type="pct"/>
            <w:gridSpan w:val="2"/>
            <w:shd w:val="clear" w:color="auto" w:fill="auto"/>
            <w:vAlign w:val="center"/>
          </w:tcPr>
          <w:p w14:paraId="00000075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27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76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7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Специалист должен знать и понимать:</w:t>
            </w:r>
          </w:p>
          <w:p w14:paraId="00000078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технологии ИТ-разработки и программирования; </w:t>
            </w:r>
          </w:p>
          <w:p w14:paraId="00000079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нотацию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IDEF, EPC,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UML-2; </w:t>
            </w:r>
          </w:p>
          <w:p w14:paraId="0000007A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способы проектирования UI/UX; </w:t>
            </w:r>
          </w:p>
          <w:p w14:paraId="0000007B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способы проектирования баз данных;</w:t>
            </w:r>
          </w:p>
          <w:p w14:paraId="0000007C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математического моделирования и алгоритмизации; </w:t>
            </w:r>
          </w:p>
          <w:p w14:paraId="0000007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клиент-серверной и других ИТ-технологий; </w:t>
            </w:r>
          </w:p>
          <w:p w14:paraId="0000007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основной перечень и состав технических документов для ИТ-разработки.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7F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shd w:val="clear" w:color="auto" w:fill="auto"/>
            <w:vAlign w:val="center"/>
          </w:tcPr>
          <w:p w14:paraId="00000080">
            <w:pPr>
              <w:spacing w:after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81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реализовывать ПО в соответствии с техническими требованиями; </w:t>
            </w:r>
          </w:p>
          <w:p w14:paraId="00000082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модель (схему) данных; </w:t>
            </w:r>
          </w:p>
          <w:p w14:paraId="00000083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проектировать цифровые продукты с учетом требований и особенностей их дальнейшего использования; </w:t>
            </w:r>
          </w:p>
          <w:p w14:paraId="00000084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формулировать требования к ИТ-инфраструктуре; </w:t>
            </w:r>
          </w:p>
          <w:p w14:paraId="00000085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документировать требования в формальном виде; </w:t>
            </w:r>
          </w:p>
          <w:p w14:paraId="00000086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исследовать проекты цифровых продуктов, выбирать оптимальный и обосновывать свой выбор;</w:t>
            </w:r>
          </w:p>
          <w:p w14:paraId="00000087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преобразовывать характеристики цифровых продуктов в правила работы с ними.</w:t>
            </w:r>
          </w:p>
        </w:tc>
      </w:tr>
      <w:tr>
        <w:trPr/>
        <w:tc>
          <w:tcPr>
            <w:cnfStyle w:val="00000010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88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3739" w:type="pct"/>
            <w:shd w:val="clear" w:color="auto" w:fill="auto"/>
            <w:vAlign w:val="center"/>
          </w:tcPr>
          <w:p w14:paraId="00000089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Применение инструментов менеджмента</w:t>
            </w:r>
          </w:p>
        </w:tc>
        <w:tc>
          <w:tcPr>
            <w:cnfStyle w:val="000000100000"/>
            <w:tcW w:w="882" w:type="pct"/>
            <w:gridSpan w:val="2"/>
            <w:shd w:val="clear" w:color="auto" w:fill="auto"/>
            <w:vAlign w:val="center"/>
          </w:tcPr>
          <w:p w14:paraId="0000008A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31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8B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shd w:val="clear" w:color="auto" w:fill="auto"/>
            <w:vAlign w:val="center"/>
          </w:tcPr>
          <w:p w14:paraId="0000008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Специалист должен знать и понимать:</w:t>
            </w:r>
          </w:p>
          <w:p w14:paraId="0000008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методологию проведения PEST-анализа; </w:t>
            </w:r>
          </w:p>
          <w:p w14:paraId="0000008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методологию проведения SWOT-анализа; </w:t>
            </w:r>
          </w:p>
          <w:p w14:paraId="0000008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отличия целей и задач; </w:t>
            </w:r>
          </w:p>
          <w:p w14:paraId="0000009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основные типы бизнес-процессов организации; </w:t>
            </w:r>
          </w:p>
          <w:p w14:paraId="00000091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Теории организации; </w:t>
            </w:r>
          </w:p>
          <w:p w14:paraId="00000092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понятия бережливого производства и ТРИЗ;</w:t>
            </w:r>
          </w:p>
          <w:p w14:paraId="00000093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отличие процессов от функций; </w:t>
            </w:r>
          </w:p>
          <w:p w14:paraId="00000094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основы проектного управления; 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95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96">
            <w:pPr>
              <w:spacing w:after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97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проводить стратегический анализ на основе предоставленных данных; </w:t>
            </w:r>
          </w:p>
          <w:p w14:paraId="00000098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определять пути достижения целей; </w:t>
            </w:r>
          </w:p>
          <w:p w14:paraId="00000099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фиксировать бизнес-процессы в соответствии с нотацией; </w:t>
            </w:r>
          </w:p>
          <w:p w14:paraId="0000009A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проводить реинжиниринг бизнес-процессов на основе исходных данных; </w:t>
            </w:r>
          </w:p>
          <w:p w14:paraId="0000009B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организационную структуры на основе данных о процессах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 условиях функционирования;</w:t>
            </w:r>
          </w:p>
          <w:p w14:paraId="0000009C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планировать процесс изменений в организации; </w:t>
            </w:r>
          </w:p>
          <w:p w14:paraId="0000009D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функционал элементов системы на основе зафиксированных процессов; </w:t>
            </w:r>
          </w:p>
          <w:p w14:paraId="0000009E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применять методы бережливого производства для цифровой трансформации предприятия; </w:t>
            </w:r>
          </w:p>
          <w:p w14:paraId="0000009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проектную документацию. </w:t>
            </w:r>
          </w:p>
        </w:tc>
      </w:tr>
      <w:tr>
        <w:trPr/>
        <w:tc>
          <w:tcPr>
            <w:cnfStyle w:val="00000001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A0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cnfStyle w:val="000000010000"/>
            <w:tcW w:w="3739" w:type="pct"/>
            <w:shd w:val="clear" w:color="auto" w:fill="auto"/>
            <w:vAlign w:val="center"/>
          </w:tcPr>
          <w:p w14:paraId="000000A1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Расчеты экономики</w:t>
            </w:r>
          </w:p>
        </w:tc>
        <w:tc>
          <w:tcPr>
            <w:cnfStyle w:val="000000010000"/>
            <w:tcW w:w="882" w:type="pct"/>
            <w:gridSpan w:val="2"/>
            <w:shd w:val="clear" w:color="auto" w:fill="auto"/>
            <w:vAlign w:val="center"/>
          </w:tcPr>
          <w:p w14:paraId="000000A2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A3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A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Специалист должен знать и понимать:</w:t>
            </w:r>
          </w:p>
          <w:p w14:paraId="000000A5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основы экономики.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A6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shd w:val="clear" w:color="auto" w:fill="auto"/>
            <w:vAlign w:val="center"/>
          </w:tcPr>
          <w:p w14:paraId="000000A7">
            <w:pPr>
              <w:spacing w:after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A8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строить финансовую модель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000000A9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проводить оценку инвестиций и оценку рисков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>
        <w:trPr/>
        <w:tc>
          <w:tcPr>
            <w:cnfStyle w:val="000000100000"/>
            <w:tcW w:w="379" w:type="pct"/>
            <w:vMerge w:val="restart"/>
            <w:shd w:val="clear" w:color="auto" w:fill="bfbfbf" w:themeFill="background1" w:themeFillShade="bf"/>
            <w:vAlign w:val="center"/>
          </w:tcPr>
          <w:p w14:paraId="000000AA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cnfStyle w:val="000000100000"/>
            <w:tcW w:w="3739" w:type="pct"/>
            <w:shd w:val="clear" w:color="auto" w:fill="auto"/>
            <w:vAlign w:val="center"/>
          </w:tcPr>
          <w:p w14:paraId="000000AB">
            <w:pPr>
              <w:spacing w:after="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Планирование кадровых ресурсов</w:t>
            </w:r>
          </w:p>
        </w:tc>
        <w:tc>
          <w:tcPr>
            <w:cnfStyle w:val="000000100000"/>
            <w:tcW w:w="882" w:type="pct"/>
            <w:gridSpan w:val="2"/>
            <w:shd w:val="clear" w:color="auto" w:fill="auto"/>
            <w:vAlign w:val="center"/>
          </w:tcPr>
          <w:p w14:paraId="000000AC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</w:tr>
      <w:tr>
        <w:trPr/>
        <w:tc>
          <w:tcPr>
            <w:cnfStyle w:val="00000001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AD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4621" w:type="pct"/>
            <w:gridSpan w:val="3"/>
            <w:shd w:val="clear" w:color="auto" w:fill="auto"/>
            <w:vAlign w:val="center"/>
          </w:tcPr>
          <w:p w14:paraId="000000A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/>
              <w:jc w:val="both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Специалист должен знать и понимать:</w:t>
            </w:r>
          </w:p>
          <w:p w14:paraId="000000AF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принципы компетентностного подхода к стандартизации. </w:t>
            </w:r>
          </w:p>
        </w:tc>
      </w:tr>
      <w:tr>
        <w:trPr/>
        <w:tc>
          <w:tcPr>
            <w:cnfStyle w:val="000000100000"/>
            <w:tcW w:w="379" w:type="pct"/>
            <w:vMerge w:val="continue"/>
            <w:shd w:val="clear" w:color="auto" w:fill="bfbfbf" w:themeFill="background1" w:themeFillShade="bf"/>
            <w:vAlign w:val="center"/>
          </w:tcPr>
          <w:p w14:paraId="000000B0">
            <w:pPr>
              <w:spacing w:after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4621" w:type="pct"/>
            <w:gridSpan w:val="3"/>
            <w:shd w:val="clear" w:color="auto" w:fill="auto"/>
            <w:vAlign w:val="center"/>
          </w:tcPr>
          <w:p w14:paraId="000000B1">
            <w:pPr>
              <w:spacing w:after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Специалист должен уметь:</w:t>
            </w:r>
          </w:p>
          <w:p w14:paraId="000000B2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структуру предприятия; </w:t>
            </w:r>
          </w:p>
          <w:p w14:paraId="000000B3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формировать должностные инструкции; </w:t>
            </w:r>
          </w:p>
          <w:p w14:paraId="000000B4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планировать и проводить оценку компетенций; </w:t>
            </w:r>
          </w:p>
          <w:p w14:paraId="000000B5">
            <w:pPr>
              <w:pStyle w:val="ListParagraph"/>
              <w:numPr>
                <w:ilvl w:val="0"/>
                <w:numId w:val="38"/>
              </w:num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планировать корпоративное обучение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</w:p>
        </w:tc>
      </w:tr>
    </w:tbl>
    <w:p w14:paraId="000000B6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00000B7">
      <w:pPr>
        <w:pStyle w:val="!заголовок-2"/>
        <w:jc w:val="center"/>
        <w:rPr>
          <w:rFonts w:ascii="Times New Roman" w:hAnsi="Times New Roman"/>
          <w:szCs w:val="28"/>
        </w:rPr>
      </w:pPr>
      <w:bookmarkStart w:id="5" w:name="_Toc78885655"/>
      <w:bookmarkStart w:id="6" w:name="_Toc192873676"/>
      <w:r>
        <w:rPr>
          <w:rFonts w:ascii="Times New Roman" w:hAnsi="Times New Roman"/>
          <w:szCs w:val="28"/>
        </w:rPr>
        <w:t>1.3. Требования к схеме оценки</w:t>
      </w:r>
      <w:bookmarkEnd w:id="5"/>
      <w:bookmarkEnd w:id="6"/>
    </w:p>
    <w:p w14:paraId="000000B8">
      <w:pPr>
        <w:pStyle w:val="BodyText"/>
        <w:widowControl w:val="on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 диапазон баллов, определенных для каждого раздела компетенции</w:t>
      </w:r>
      <w:r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 №2.</w:t>
      </w:r>
    </w:p>
    <w:p w14:paraId="000000B9">
      <w:pPr>
        <w:pStyle w:val="BodyText"/>
        <w:widowControl w:val="on"/>
        <w:ind w:firstLine="709"/>
        <w:jc w:val="right"/>
        <w:rPr>
          <w:rFonts w:ascii="Times New Roman" w:hAnsi="Times New Roman"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Cs/>
          <w:i/>
          <w:iCs/>
          <w:sz w:val="28"/>
          <w:szCs w:val="28"/>
          <w:lang w:val="ru-RU"/>
        </w:rPr>
        <w:t>Таблица №2</w:t>
      </w:r>
    </w:p>
    <w:p w14:paraId="000000BA">
      <w:pPr>
        <w:pStyle w:val="BodyText"/>
        <w:widowControl w:val="on"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>
        <w:rPr>
          <w:rFonts w:ascii="Times New Roman" w:hAnsi="Times New Roman"/>
          <w:b/>
          <w:sz w:val="28"/>
          <w:szCs w:val="28"/>
          <w:lang w:val="ru-RU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ребований компетенции в </w:t>
      </w:r>
      <w:r>
        <w:rPr>
          <w:rFonts w:ascii="Times New Roman" w:hAnsi="Times New Roman"/>
          <w:b/>
          <w:sz w:val="28"/>
          <w:szCs w:val="28"/>
          <w:lang w:val="ru-RU"/>
        </w:rPr>
        <w:t>к</w:t>
      </w:r>
      <w:r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Style w:val="TableGrid"/>
        <w:tblW w:w="4847" w:type="pct"/>
        <w:jc w:val="center"/>
        <w:tblLook w:val="04A0"/>
      </w:tblPr>
      <w:tblGrid>
        <w:gridCol w:w="2051"/>
        <w:gridCol w:w="328"/>
        <w:gridCol w:w="980"/>
        <w:gridCol w:w="980"/>
        <w:gridCol w:w="980"/>
        <w:gridCol w:w="981"/>
        <w:gridCol w:w="983"/>
        <w:gridCol w:w="2051"/>
      </w:tblGrid>
      <w:tr>
        <w:trPr>
          <w:trHeight w:val="1538"/>
          <w:jc w:val="center"/>
        </w:trPr>
        <w:tc>
          <w:tcPr>
            <w:cnfStyle w:val="101000000000"/>
            <w:tcW w:w="3901" w:type="pct"/>
            <w:gridSpan w:val="7"/>
            <w:shd w:val="clear" w:color="auto" w:fill="92d050"/>
            <w:vAlign w:val="center"/>
          </w:tcPr>
          <w:p w14:paraId="000000BB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Критерий/Модуль</w:t>
            </w:r>
          </w:p>
        </w:tc>
        <w:tc>
          <w:tcPr>
            <w:cnfStyle w:val="100000000000"/>
            <w:tcW w:w="1099" w:type="pct"/>
            <w:shd w:val="clear" w:color="auto" w:fill="92d050"/>
            <w:vAlign w:val="center"/>
          </w:tcPr>
          <w:p w14:paraId="000000B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 баллов за раздел ТРЕБОВАНИЙ КОМПЕТЕНЦИИ</w:t>
            </w:r>
          </w:p>
        </w:tc>
      </w:tr>
      <w:tr>
        <w:trPr>
          <w:trHeight w:val="50"/>
          <w:jc w:val="center"/>
        </w:trPr>
        <w:tc>
          <w:tcPr>
            <w:cnfStyle w:val="001000100000"/>
            <w:tcW w:w="1099" w:type="pct"/>
            <w:vMerge w:val="restart"/>
            <w:shd w:val="clear" w:color="auto" w:fill="92d050"/>
            <w:vAlign w:val="center"/>
          </w:tcPr>
          <w:p w14:paraId="000000B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Разделы ТРЕБОВАНИЙ КОМПЕТЕНЦИИ</w:t>
            </w:r>
          </w:p>
        </w:tc>
        <w:tc>
          <w:tcPr>
            <w:cnfStyle w:val="000000100000"/>
            <w:tcW w:w="175" w:type="pct"/>
            <w:shd w:val="clear" w:color="auto" w:fill="92d050"/>
            <w:vAlign w:val="center"/>
          </w:tcPr>
          <w:p w14:paraId="000000BE">
            <w:pPr>
              <w:jc w:val="center"/>
              <w:rPr>
                <w:color w:val="ffffff" w:themeColor="background1"/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shd w:val="clear" w:color="auto" w:fill="00b050"/>
            <w:vAlign w:val="center"/>
          </w:tcPr>
          <w:p w14:paraId="000000BF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A</w:t>
            </w:r>
          </w:p>
        </w:tc>
        <w:tc>
          <w:tcPr>
            <w:cnfStyle w:val="000000100000"/>
            <w:tcW w:w="525" w:type="pct"/>
            <w:shd w:val="clear" w:color="auto" w:fill="00b050"/>
            <w:vAlign w:val="center"/>
          </w:tcPr>
          <w:p w14:paraId="000000C0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Б</w:t>
            </w:r>
          </w:p>
        </w:tc>
        <w:tc>
          <w:tcPr>
            <w:cnfStyle w:val="000000100000"/>
            <w:tcW w:w="525" w:type="pct"/>
            <w:shd w:val="clear" w:color="auto" w:fill="00b050"/>
            <w:vAlign w:val="center"/>
          </w:tcPr>
          <w:p w14:paraId="000000C1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В</w:t>
            </w:r>
          </w:p>
        </w:tc>
        <w:tc>
          <w:tcPr>
            <w:cnfStyle w:val="000000100000"/>
            <w:tcW w:w="525" w:type="pct"/>
            <w:shd w:val="clear" w:color="auto" w:fill="00b050"/>
            <w:vAlign w:val="center"/>
          </w:tcPr>
          <w:p w14:paraId="000000C2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Г</w:t>
            </w:r>
          </w:p>
        </w:tc>
        <w:tc>
          <w:tcPr>
            <w:cnfStyle w:val="000000100000"/>
            <w:tcW w:w="527" w:type="pct"/>
            <w:shd w:val="clear" w:color="auto" w:fill="00b050"/>
            <w:vAlign w:val="center"/>
          </w:tcPr>
          <w:p w14:paraId="000000C3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Д</w:t>
            </w:r>
          </w:p>
        </w:tc>
        <w:tc>
          <w:tcPr>
            <w:cnfStyle w:val="000000100000"/>
            <w:tcW w:w="1099" w:type="pct"/>
            <w:shd w:val="clear" w:color="auto" w:fill="00b050"/>
            <w:vAlign w:val="center"/>
          </w:tcPr>
          <w:p w14:paraId="000000C4">
            <w:pPr>
              <w:ind w:right="172" w:hanging="176"/>
              <w:jc w:val="both"/>
              <w:rPr>
                <w:b/>
                <w:sz w:val="22"/>
                <w:szCs w:val="22"/>
              </w:rPr>
            </w:pPr>
          </w:p>
        </w:tc>
      </w:tr>
      <w:tr>
        <w:trPr>
          <w:trHeight w:val="50"/>
          <w:jc w:val="center"/>
        </w:trPr>
        <w:tc>
          <w:tcPr>
            <w:cnfStyle w:val="001000010000"/>
            <w:tcW w:w="1099" w:type="pct"/>
            <w:vMerge w:val="continue"/>
            <w:shd w:val="clear" w:color="auto" w:fill="92d050"/>
            <w:vAlign w:val="center"/>
          </w:tcPr>
          <w:p w14:paraId="000000C5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010000"/>
            <w:tcW w:w="175" w:type="pct"/>
            <w:shd w:val="clear" w:color="auto" w:fill="00b050"/>
            <w:vAlign w:val="center"/>
          </w:tcPr>
          <w:p w14:paraId="000000C6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0010000"/>
            <w:tcW w:w="525" w:type="pct"/>
            <w:vAlign w:val="center"/>
          </w:tcPr>
          <w:p w14:paraId="000000C7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cnfStyle w:val="000000010000"/>
            <w:tcW w:w="525" w:type="pct"/>
            <w:vAlign w:val="center"/>
          </w:tcPr>
          <w:p w14:paraId="000000C8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cnfStyle w:val="000000010000"/>
            <w:tcW w:w="525" w:type="pct"/>
            <w:vAlign w:val="center"/>
          </w:tcPr>
          <w:p w14:paraId="000000C9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5</w:t>
            </w:r>
          </w:p>
        </w:tc>
        <w:tc>
          <w:tcPr>
            <w:cnfStyle w:val="000000010000"/>
            <w:tcW w:w="525" w:type="pct"/>
            <w:vAlign w:val="center"/>
          </w:tcPr>
          <w:p w14:paraId="000000C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7" w:type="pct"/>
            <w:vAlign w:val="center"/>
          </w:tcPr>
          <w:p w14:paraId="000000C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1099" w:type="pct"/>
            <w:shd w:val="clear" w:color="auto" w:fill="f2f2f2" w:themeFill="background1" w:themeFillShade="f2"/>
            <w:vAlign w:val="center"/>
          </w:tcPr>
          <w:p w14:paraId="000000C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10</w:t>
            </w:r>
          </w:p>
        </w:tc>
      </w:tr>
      <w:tr>
        <w:trPr>
          <w:trHeight w:val="50"/>
          <w:jc w:val="center"/>
        </w:trPr>
        <w:tc>
          <w:tcPr>
            <w:cnfStyle w:val="001000100000"/>
            <w:tcW w:w="1099" w:type="pct"/>
            <w:vMerge w:val="continue"/>
            <w:shd w:val="clear" w:color="auto" w:fill="92d050"/>
            <w:vAlign w:val="center"/>
          </w:tcPr>
          <w:p w14:paraId="000000CD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100000"/>
            <w:tcW w:w="175" w:type="pct"/>
            <w:shd w:val="clear" w:color="auto" w:fill="00b050"/>
            <w:vAlign w:val="center"/>
          </w:tcPr>
          <w:p w14:paraId="000000CE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00100000"/>
            <w:tcW w:w="525" w:type="pct"/>
            <w:vAlign w:val="center"/>
          </w:tcPr>
          <w:p w14:paraId="000000CF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</w:rPr>
              <w:t>8</w:t>
            </w:r>
          </w:p>
        </w:tc>
        <w:tc>
          <w:tcPr>
            <w:cnfStyle w:val="000000100000"/>
            <w:tcW w:w="525" w:type="pct"/>
            <w:vAlign w:val="center"/>
          </w:tcPr>
          <w:p w14:paraId="000000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cnfStyle w:val="000000100000"/>
            <w:tcW w:w="527" w:type="pct"/>
            <w:vAlign w:val="center"/>
          </w:tcPr>
          <w:p w14:paraId="000000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1099" w:type="pct"/>
            <w:shd w:val="clear" w:color="auto" w:fill="f2f2f2" w:themeFill="background1" w:themeFillShade="f2"/>
            <w:vAlign w:val="center"/>
          </w:tcPr>
          <w:p w14:paraId="000000D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12</w:t>
            </w:r>
          </w:p>
        </w:tc>
      </w:tr>
      <w:tr>
        <w:trPr>
          <w:trHeight w:val="50"/>
          <w:jc w:val="center"/>
        </w:trPr>
        <w:tc>
          <w:tcPr>
            <w:cnfStyle w:val="001000010000"/>
            <w:tcW w:w="1099" w:type="pct"/>
            <w:vMerge w:val="continue"/>
            <w:shd w:val="clear" w:color="auto" w:fill="92d050"/>
            <w:vAlign w:val="center"/>
          </w:tcPr>
          <w:p w14:paraId="000000D5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010000"/>
            <w:tcW w:w="175" w:type="pct"/>
            <w:shd w:val="clear" w:color="auto" w:fill="00b050"/>
            <w:vAlign w:val="center"/>
          </w:tcPr>
          <w:p w14:paraId="000000D6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3</w:t>
            </w:r>
          </w:p>
        </w:tc>
        <w:tc>
          <w:tcPr>
            <w:cnfStyle w:val="000000010000"/>
            <w:tcW w:w="525" w:type="pct"/>
            <w:vAlign w:val="center"/>
          </w:tcPr>
          <w:p w14:paraId="000000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5" w:type="pct"/>
            <w:vAlign w:val="center"/>
          </w:tcPr>
          <w:p w14:paraId="000000D8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17</w:t>
            </w:r>
          </w:p>
        </w:tc>
        <w:tc>
          <w:tcPr>
            <w:cnfStyle w:val="000000010000"/>
            <w:tcW w:w="525" w:type="pct"/>
            <w:vAlign w:val="center"/>
          </w:tcPr>
          <w:p w14:paraId="000000D9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</w:rPr>
              <w:t>4</w:t>
            </w:r>
          </w:p>
        </w:tc>
        <w:tc>
          <w:tcPr>
            <w:cnfStyle w:val="000000010000"/>
            <w:tcW w:w="525" w:type="pct"/>
            <w:vAlign w:val="center"/>
          </w:tcPr>
          <w:p w14:paraId="000000DA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</w:rPr>
              <w:t>4</w:t>
            </w:r>
          </w:p>
        </w:tc>
        <w:tc>
          <w:tcPr>
            <w:cnfStyle w:val="000000010000"/>
            <w:tcW w:w="527" w:type="pct"/>
            <w:vAlign w:val="center"/>
          </w:tcPr>
          <w:p w14:paraId="000000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cnfStyle w:val="000000010000"/>
            <w:tcW w:w="1099" w:type="pct"/>
            <w:shd w:val="clear" w:color="auto" w:fill="f2f2f2" w:themeFill="background1" w:themeFillShade="f2"/>
            <w:vAlign w:val="center"/>
          </w:tcPr>
          <w:p w14:paraId="000000D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27</w:t>
            </w:r>
          </w:p>
        </w:tc>
      </w:tr>
      <w:tr>
        <w:trPr>
          <w:trHeight w:val="50"/>
          <w:jc w:val="center"/>
        </w:trPr>
        <w:tc>
          <w:tcPr>
            <w:cnfStyle w:val="001000100000"/>
            <w:tcW w:w="1099" w:type="pct"/>
            <w:vMerge w:val="continue"/>
            <w:shd w:val="clear" w:color="auto" w:fill="92d050"/>
            <w:vAlign w:val="center"/>
          </w:tcPr>
          <w:p w14:paraId="000000DD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100000"/>
            <w:tcW w:w="175" w:type="pct"/>
            <w:shd w:val="clear" w:color="auto" w:fill="00b050"/>
            <w:vAlign w:val="center"/>
          </w:tcPr>
          <w:p w14:paraId="000000DE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0100000"/>
            <w:tcW w:w="525" w:type="pct"/>
            <w:vAlign w:val="center"/>
          </w:tcPr>
          <w:p w14:paraId="000000DF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29</w:t>
            </w:r>
          </w:p>
        </w:tc>
        <w:tc>
          <w:tcPr>
            <w:cnfStyle w:val="000000100000"/>
            <w:tcW w:w="525" w:type="pct"/>
            <w:vAlign w:val="center"/>
          </w:tcPr>
          <w:p w14:paraId="000000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7" w:type="pct"/>
            <w:vAlign w:val="center"/>
          </w:tcPr>
          <w:p w14:paraId="000000E3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cnfStyle w:val="000000100000"/>
            <w:tcW w:w="1099" w:type="pct"/>
            <w:shd w:val="clear" w:color="auto" w:fill="f2f2f2" w:themeFill="background1" w:themeFillShade="f2"/>
            <w:vAlign w:val="center"/>
          </w:tcPr>
          <w:p w14:paraId="000000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31</w:t>
            </w:r>
          </w:p>
        </w:tc>
      </w:tr>
      <w:tr>
        <w:trPr>
          <w:trHeight w:val="50"/>
          <w:jc w:val="center"/>
        </w:trPr>
        <w:tc>
          <w:tcPr>
            <w:cnfStyle w:val="001000010000"/>
            <w:tcW w:w="1099" w:type="pct"/>
            <w:vMerge w:val="continue"/>
            <w:shd w:val="clear" w:color="auto" w:fill="92d050"/>
            <w:vAlign w:val="center"/>
          </w:tcPr>
          <w:p w14:paraId="000000E5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010000"/>
            <w:tcW w:w="175" w:type="pct"/>
            <w:shd w:val="clear" w:color="auto" w:fill="00b050"/>
            <w:vAlign w:val="center"/>
          </w:tcPr>
          <w:p w14:paraId="000000E6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0010000"/>
            <w:tcW w:w="525" w:type="pct"/>
            <w:vAlign w:val="center"/>
          </w:tcPr>
          <w:p w14:paraId="000000E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5" w:type="pct"/>
            <w:vAlign w:val="center"/>
          </w:tcPr>
          <w:p w14:paraId="000000E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5" w:type="pct"/>
            <w:vAlign w:val="center"/>
          </w:tcPr>
          <w:p w14:paraId="000000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5" w:type="pct"/>
            <w:vAlign w:val="center"/>
          </w:tcPr>
          <w:p w14:paraId="000000E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010000"/>
            <w:tcW w:w="527" w:type="pct"/>
            <w:vAlign w:val="center"/>
          </w:tcPr>
          <w:p w14:paraId="000000EB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cnfStyle w:val="000000010000"/>
            <w:tcW w:w="1099" w:type="pct"/>
            <w:shd w:val="clear" w:color="auto" w:fill="f2f2f2" w:themeFill="background1" w:themeFillShade="f2"/>
            <w:vAlign w:val="center"/>
          </w:tcPr>
          <w:p w14:paraId="000000E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10</w:t>
            </w:r>
          </w:p>
        </w:tc>
      </w:tr>
      <w:tr>
        <w:trPr>
          <w:trHeight w:val="50"/>
          <w:jc w:val="center"/>
        </w:trPr>
        <w:tc>
          <w:tcPr>
            <w:cnfStyle w:val="001000100000"/>
            <w:tcW w:w="1099" w:type="pct"/>
            <w:vMerge w:val="continue"/>
            <w:shd w:val="clear" w:color="auto" w:fill="92d050"/>
            <w:vAlign w:val="center"/>
          </w:tcPr>
          <w:p w14:paraId="000000ED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cnfStyle w:val="000000100000"/>
            <w:tcW w:w="175" w:type="pct"/>
            <w:shd w:val="clear" w:color="auto" w:fill="00b050"/>
            <w:vAlign w:val="center"/>
          </w:tcPr>
          <w:p w14:paraId="000000EE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b/>
                <w:color w:val="ffffff" w:themeColor="background1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0100000"/>
            <w:tcW w:w="525" w:type="pct"/>
            <w:vAlign w:val="center"/>
          </w:tcPr>
          <w:p w14:paraId="000000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5" w:type="pct"/>
            <w:vAlign w:val="center"/>
          </w:tcPr>
          <w:p w14:paraId="000000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cnfStyle w:val="000000100000"/>
            <w:tcW w:w="527" w:type="pct"/>
            <w:vAlign w:val="center"/>
          </w:tcPr>
          <w:p w14:paraId="000000F3">
            <w:pPr>
              <w:jc w:val="center"/>
              <w:rPr>
                <w:sz w:val="22"/>
                <w:szCs w:val="22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cnfStyle w:val="000000100000"/>
            <w:tcW w:w="1099" w:type="pct"/>
            <w:shd w:val="clear" w:color="auto" w:fill="f2f2f2" w:themeFill="background1" w:themeFillShade="f2"/>
            <w:vAlign w:val="center"/>
          </w:tcPr>
          <w:p w14:paraId="000000F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10</w:t>
            </w:r>
          </w:p>
        </w:tc>
      </w:tr>
      <w:tr>
        <w:trPr>
          <w:trHeight w:val="50"/>
          <w:jc w:val="center"/>
        </w:trPr>
        <w:tc>
          <w:tcPr>
            <w:cnfStyle w:val="001000010000"/>
            <w:tcW w:w="1274" w:type="pct"/>
            <w:gridSpan w:val="2"/>
            <w:shd w:val="clear" w:color="auto" w:fill="00b050"/>
            <w:vAlign w:val="center"/>
          </w:tcPr>
          <w:p w14:paraId="000000F5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 баллов за критерий/модуль</w:t>
            </w:r>
          </w:p>
        </w:tc>
        <w:tc>
          <w:tcPr>
            <w:cnfStyle w:val="000000010000"/>
            <w:tcW w:w="525" w:type="pct"/>
            <w:shd w:val="clear" w:color="auto" w:fill="f2f2f2" w:themeFill="background1" w:themeFillShade="f2"/>
            <w:vAlign w:val="center"/>
          </w:tcPr>
          <w:p w14:paraId="000000F6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3</w:t>
            </w:r>
            <w:r>
              <w:rPr>
                <w:b/>
                <w:szCs w:val="28"/>
              </w:rPr>
              <w:t>9</w:t>
            </w:r>
          </w:p>
        </w:tc>
        <w:tc>
          <w:tcPr>
            <w:cnfStyle w:val="000000010000"/>
            <w:tcW w:w="525" w:type="pct"/>
            <w:shd w:val="clear" w:color="auto" w:fill="f2f2f2" w:themeFill="background1" w:themeFillShade="f2"/>
            <w:vAlign w:val="center"/>
          </w:tcPr>
          <w:p w14:paraId="000000F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20</w:t>
            </w:r>
          </w:p>
        </w:tc>
        <w:tc>
          <w:tcPr>
            <w:cnfStyle w:val="000000010000"/>
            <w:tcW w:w="525" w:type="pct"/>
            <w:shd w:val="clear" w:color="auto" w:fill="f2f2f2" w:themeFill="background1" w:themeFillShade="f2"/>
            <w:vAlign w:val="center"/>
          </w:tcPr>
          <w:p w14:paraId="000000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12</w:t>
            </w:r>
          </w:p>
        </w:tc>
        <w:tc>
          <w:tcPr>
            <w:cnfStyle w:val="000000010000"/>
            <w:tcW w:w="525" w:type="pct"/>
            <w:shd w:val="clear" w:color="auto" w:fill="f2f2f2" w:themeFill="background1" w:themeFillShade="f2"/>
            <w:vAlign w:val="center"/>
          </w:tcPr>
          <w:p w14:paraId="000000F9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</w:rPr>
              <w:t>8</w:t>
            </w:r>
          </w:p>
        </w:tc>
        <w:tc>
          <w:tcPr>
            <w:cnfStyle w:val="000000010000"/>
            <w:tcW w:w="527" w:type="pct"/>
            <w:shd w:val="clear" w:color="auto" w:fill="f2f2f2" w:themeFill="background1" w:themeFillShade="f2"/>
            <w:vAlign w:val="center"/>
          </w:tcPr>
          <w:p w14:paraId="000000F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Cs w:val="28"/>
                <w:lang w:val="en-US"/>
              </w:rPr>
              <w:t>2</w:t>
            </w:r>
            <w:r>
              <w:rPr>
                <w:b/>
                <w:szCs w:val="28"/>
              </w:rPr>
              <w:t>4</w:t>
            </w:r>
          </w:p>
        </w:tc>
        <w:tc>
          <w:tcPr>
            <w:cnfStyle w:val="000000010000"/>
            <w:tcW w:w="1099" w:type="pct"/>
            <w:shd w:val="clear" w:color="auto" w:fill="f2f2f2" w:themeFill="background1" w:themeFillShade="f2"/>
            <w:vAlign w:val="center"/>
          </w:tcPr>
          <w:p w14:paraId="000000F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</w:p>
        </w:tc>
      </w:tr>
    </w:tbl>
    <w:p w14:paraId="000000FC">
      <w:pPr>
        <w:pStyle w:val="!заголовок-2"/>
        <w:spacing w:before="0" w:after="240"/>
        <w:ind w:firstLine="709"/>
        <w:jc w:val="center"/>
        <w:rPr>
          <w:rFonts w:ascii="Times New Roman" w:hAnsi="Times New Roman"/>
          <w:sz w:val="24"/>
        </w:rPr>
      </w:pPr>
    </w:p>
    <w:p w14:paraId="000000FD">
      <w:pPr>
        <w:pStyle w:val="!заголовок-2"/>
        <w:spacing w:before="0" w:after="240"/>
        <w:ind w:firstLine="709"/>
        <w:jc w:val="center"/>
        <w:rPr>
          <w:rFonts w:ascii="Times New Roman" w:hAnsi="Times New Roman"/>
          <w:szCs w:val="28"/>
        </w:rPr>
      </w:pPr>
      <w:bookmarkStart w:id="7" w:name="_Toc192873677"/>
      <w:r>
        <w:rPr>
          <w:rFonts w:ascii="Times New Roman" w:hAnsi="Times New Roman"/>
          <w:szCs w:val="28"/>
        </w:rPr>
        <w:t>1.4. Спецификация оценки компетенции</w:t>
      </w:r>
      <w:bookmarkEnd w:id="7"/>
    </w:p>
    <w:p w14:paraId="000000FE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Оценка Конкурсного задания будет основываться на критериях</w:t>
      </w:r>
      <w:r>
        <w:rPr>
          <w:rFonts w:ascii="Times New Roman" w:cs="Times New Roman" w:hAnsi="Times New Roman"/>
          <w:sz w:val="28"/>
          <w:szCs w:val="28"/>
        </w:rPr>
        <w:t>, указанных в таблице №3</w:t>
      </w:r>
      <w:r>
        <w:rPr>
          <w:rFonts w:ascii="Times New Roman" w:cs="Times New Roman" w:hAnsi="Times New Roman"/>
          <w:sz w:val="28"/>
          <w:szCs w:val="28"/>
        </w:rPr>
        <w:t>:</w:t>
      </w:r>
    </w:p>
    <w:p w14:paraId="000000FF">
      <w:pPr>
        <w:spacing w:after="0" w:line="360" w:lineRule="auto"/>
        <w:ind w:firstLine="709"/>
        <w:jc w:val="right"/>
        <w:rPr>
          <w:rFonts w:ascii="Times New Roman" w:cs="Times New Roman" w:hAnsi="Times New Roman"/>
          <w:i/>
          <w:iCs/>
          <w:sz w:val="28"/>
          <w:szCs w:val="28"/>
        </w:rPr>
      </w:pPr>
      <w:r>
        <w:rPr>
          <w:rFonts w:ascii="Times New Roman" w:cs="Times New Roman" w:hAnsi="Times New Roman"/>
          <w:i/>
          <w:iCs/>
          <w:sz w:val="28"/>
          <w:szCs w:val="28"/>
        </w:rPr>
        <w:t>Таблица №3</w:t>
      </w:r>
    </w:p>
    <w:p w14:paraId="00000100">
      <w:pPr>
        <w:spacing w:after="0"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TableGrid"/>
        <w:tblW w:w="5000" w:type="pct"/>
        <w:tblLook w:val="04A0"/>
      </w:tblPr>
      <w:tblGrid>
        <w:gridCol w:w="452"/>
        <w:gridCol w:w="2518"/>
        <w:gridCol w:w="6659"/>
      </w:tblGrid>
      <w:tr>
        <w:trPr/>
        <w:tc>
          <w:tcPr>
            <w:cnfStyle w:val="101000000000"/>
            <w:tcW w:w="1851" w:type="pct"/>
            <w:gridSpan w:val="2"/>
            <w:shd w:val="clear" w:color="auto" w:fill="92d050"/>
          </w:tcPr>
          <w:p w14:paraId="000001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cnfStyle w:val="100000000000"/>
            <w:tcW w:w="3149" w:type="pct"/>
            <w:shd w:val="clear" w:color="auto" w:fill="92d050"/>
          </w:tcPr>
          <w:p w14:paraId="0000010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>
        <w:trPr/>
        <w:tc>
          <w:tcPr>
            <w:cnfStyle w:val="001000100000"/>
            <w:tcW w:w="282" w:type="pct"/>
            <w:shd w:val="clear" w:color="auto" w:fill="00b050"/>
          </w:tcPr>
          <w:p w14:paraId="000001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</w:t>
            </w:r>
          </w:p>
        </w:tc>
        <w:tc>
          <w:tcPr>
            <w:cnfStyle w:val="000000100000"/>
            <w:tcW w:w="1569" w:type="pct"/>
            <w:shd w:val="clear" w:color="auto" w:fill="92d050"/>
          </w:tcPr>
          <w:p w14:paraId="00000104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8"/>
              </w:rPr>
              <w:t>Моделирование</w:t>
            </w:r>
          </w:p>
        </w:tc>
        <w:tc>
          <w:tcPr>
            <w:cnfStyle w:val="000000100000"/>
            <w:tcW w:w="3149" w:type="pct"/>
            <w:shd w:val="clear" w:color="auto" w:fill="auto"/>
          </w:tcPr>
          <w:p w14:paraId="00000105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Ключевой фокус оценки:</w:t>
            </w:r>
            <w:r>
              <w:rPr>
                <w:sz w:val="24"/>
                <w:szCs w:val="24"/>
              </w:rPr>
              <w:t> Способность конкурсанта провести глубокий диагностический анализ организации, сформулировать обоснованную концепцию трансформации и создать согласованный проект изменений, а не просто собрать набор шаблонных схем.</w:t>
            </w:r>
          </w:p>
          <w:p w14:paraId="00000106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Глубина и релевантность анализа </w:t>
            </w:r>
          </w:p>
          <w:p w14:paraId="00000107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PEST-анализ:</w:t>
            </w:r>
            <w:r>
              <w:rPr>
                <w:sz w:val="24"/>
                <w:szCs w:val="24"/>
              </w:rPr>
              <w:t> Факторы должны быть конкретными и актуальными для отрасли кейса (не "развитие технологий", а "рост популярности API-интеграций среди логистических провайдеров, что позволяет снизить сроки подключения партнеров"). Ссылки на реальные тренды из открытых источников — преимущество.</w:t>
            </w:r>
          </w:p>
          <w:p w14:paraId="00000108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SWOT-анализ:</w:t>
            </w:r>
            <w:r>
              <w:rPr>
                <w:sz w:val="24"/>
                <w:szCs w:val="24"/>
              </w:rPr>
              <w:t> Сильные/слабые стороны — внутренние, возможности/угрозы — внешние. Выводы из SWOT должны напрямую использоваться для формулировки стратегии.</w:t>
            </w:r>
          </w:p>
          <w:p w14:paraId="00000109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Матрица "Проблема-Стейкхолдер-Интерес-Конфликт":</w:t>
            </w:r>
            <w:r>
              <w:rPr>
                <w:sz w:val="24"/>
                <w:szCs w:val="24"/>
              </w:rPr>
              <w:t> Демонстрирует системное понимание "болевых точек" организации и человеческого фактора. Конфликты должны быть конкретными (напр., "конфликт между отделом продаж (интерес – дать клиенту любые условия) и юристами (интерес – минимизировать риски компании)").</w:t>
            </w:r>
          </w:p>
          <w:p w14:paraId="0000010A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Качество и обоснованность проектных решений </w:t>
            </w:r>
          </w:p>
          <w:p w14:paraId="0000010B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Гипотезы и цели:</w:t>
            </w:r>
            <w:r>
              <w:rPr>
                <w:sz w:val="24"/>
                <w:szCs w:val="24"/>
              </w:rPr>
              <w:t> Четкое различие между краткосрочной (тактической, например, "внедрение чат-бота снизит нагрузку на техподдержку на 40% за 6 месяцев") и долгосрочной (стратегической, например, "создание платформы для клиентов позволит перейти от разовых продаж к сервисной модели за 2 года"). Дерево целей по </w:t>
            </w:r>
            <w:r>
              <w:rPr>
                <w:b/>
                <w:bCs/>
                <w:sz w:val="24"/>
                <w:szCs w:val="24"/>
              </w:rPr>
              <w:t>SMART-E</w:t>
            </w:r>
            <w:r>
              <w:rPr>
                <w:sz w:val="24"/>
                <w:szCs w:val="24"/>
              </w:rPr>
              <w:t> — цели должны быть измеримыми (KPI заложены в этом же модуле), достижимыми с учетом контекста и экологичными (E - не разрушают другие процессы).</w:t>
            </w:r>
          </w:p>
          <w:p w14:paraId="0000010C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Бизнес-процессы:</w:t>
            </w:r>
            <w:r>
              <w:rPr>
                <w:sz w:val="24"/>
                <w:szCs w:val="24"/>
              </w:rPr>
              <w:t> Нотации (IDEF/BPMN) применены корректно. В процессах </w:t>
            </w:r>
            <w:r>
              <w:rPr>
                <w:b/>
                <w:bCs/>
                <w:sz w:val="24"/>
                <w:szCs w:val="24"/>
              </w:rPr>
              <w:t>As-Is</w:t>
            </w:r>
            <w:r>
              <w:rPr>
                <w:sz w:val="24"/>
                <w:szCs w:val="24"/>
              </w:rPr>
              <w:t> видны выявленные проблемы.</w:t>
            </w:r>
            <w:r>
              <w:rPr>
                <w:sz w:val="24"/>
                <w:szCs w:val="24"/>
              </w:rPr>
              <w:t xml:space="preserve"> </w:t>
            </w:r>
          </w:p>
          <w:p w14:paraId="0000010D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Процессы </w:t>
            </w:r>
            <w:r>
              <w:rPr>
                <w:b/>
                <w:bCs/>
                <w:sz w:val="24"/>
                <w:szCs w:val="24"/>
              </w:rPr>
              <w:t>To-Be</w:t>
            </w:r>
            <w:r>
              <w:rPr>
                <w:sz w:val="24"/>
                <w:szCs w:val="24"/>
              </w:rPr>
              <w:t> реалистично оптимизированы за счет цифрового продукта. Список изменений — структурирован и понятен.</w:t>
            </w:r>
          </w:p>
          <w:p w14:paraId="0000010E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Организационная структура и ролевая модель:</w:t>
            </w:r>
            <w:r>
              <w:rPr>
                <w:sz w:val="24"/>
                <w:szCs w:val="24"/>
              </w:rPr>
              <w:t> Выбор типа структуры (проектная, процессная, гибридная) обоснован задачами трансформации. Ролевая модель описывает </w:t>
            </w:r>
            <w:r>
              <w:rPr>
                <w:i/>
                <w:iCs/>
                <w:sz w:val="24"/>
                <w:szCs w:val="24"/>
              </w:rPr>
              <w:t>зоны ответственности</w:t>
            </w:r>
            <w:r>
              <w:rPr>
                <w:sz w:val="24"/>
                <w:szCs w:val="24"/>
              </w:rPr>
              <w:t>, а не только названия должностей. Сценарии взаимодействия (напр., "Обработка сбоя в системе") показывают работу новой структуры в действии.</w:t>
            </w:r>
          </w:p>
          <w:p w14:paraId="0000010F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Проработка рисков и реализуемость </w:t>
            </w:r>
          </w:p>
          <w:p w14:paraId="00000110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Карта рисков:</w:t>
            </w:r>
            <w:r>
              <w:rPr>
                <w:sz w:val="24"/>
                <w:szCs w:val="24"/>
              </w:rPr>
              <w:t> Риски ранжированы по вероятности и impact. Меры нейтрализации — конкретные действия (не "обучить сотрудников", а "разработать и провести практические воркшопы по работе с новым интерфейсом для отдела закупок до начала опытной эксплуатации").</w:t>
            </w:r>
          </w:p>
          <w:p w14:paraId="00000111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Дорожная карта (Roadmap):</w:t>
            </w:r>
            <w:r>
              <w:rPr>
                <w:sz w:val="24"/>
                <w:szCs w:val="24"/>
              </w:rPr>
              <w:t xml:space="preserve"> Учтены зависимости между задачами. План реалистичен по срокам для </w:t>
            </w:r>
            <w:r>
              <w:rPr>
                <w:sz w:val="24"/>
                <w:szCs w:val="24"/>
              </w:rPr>
              <w:t>заявленного масштаба трансформации. Есть ключевые контрольные точки (Milestones).</w:t>
            </w:r>
          </w:p>
          <w:p w14:paraId="00000112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Связность и оформление </w:t>
            </w:r>
          </w:p>
          <w:p w14:paraId="00000113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Логическая взаимосвязь всех разделов: цифровой продукт напрямую поддерживает новые процессы, которые, в свою очередь, направлены на достижение стратегических целей, вытекающих из анализа.</w:t>
            </w:r>
          </w:p>
          <w:p w14:paraId="00000114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Профессиональное оформление отчета, наглядность диаграмм, грамотность.</w:t>
            </w:r>
          </w:p>
          <w:p w14:paraId="0000011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проверке обязательно использование Методики оценки.</w:t>
            </w:r>
          </w:p>
        </w:tc>
      </w:tr>
      <w:tr>
        <w:trPr/>
        <w:tc>
          <w:tcPr>
            <w:cnfStyle w:val="001000010000"/>
            <w:tcW w:w="282" w:type="pct"/>
            <w:shd w:val="clear" w:color="auto" w:fill="00b050"/>
          </w:tcPr>
          <w:p w14:paraId="0000011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</w:t>
            </w:r>
          </w:p>
        </w:tc>
        <w:tc>
          <w:tcPr>
            <w:cnfStyle w:val="000000010000"/>
            <w:tcW w:w="1569" w:type="pct"/>
            <w:shd w:val="clear" w:color="auto" w:fill="92d050"/>
          </w:tcPr>
          <w:p w14:paraId="00000117">
            <w:pPr>
              <w:jc w:val="both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Проектирование</w:t>
            </w:r>
          </w:p>
        </w:tc>
        <w:tc>
          <w:tcPr>
            <w:cnfStyle w:val="000000010000"/>
            <w:tcW w:w="3149" w:type="pct"/>
            <w:shd w:val="clear" w:color="auto" w:fill="auto"/>
          </w:tcPr>
          <w:p w14:paraId="00000118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Ключевой фокус оценки:</w:t>
            </w:r>
            <w:r>
              <w:rPr>
                <w:sz w:val="24"/>
                <w:szCs w:val="24"/>
              </w:rPr>
              <w:t xml:space="preserve"> Способность спроектировать технологически современное, архитектурно грамотное и экономически эффективное решение, которое является технической реализацией концепции из Модуля А.</w:t>
            </w:r>
          </w:p>
          <w:p w14:paraId="00000119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Критерии и ориентиры для эксперта:</w:t>
            </w:r>
          </w:p>
          <w:p w14:paraId="0000011A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Техническая и архитектурная грамотность </w:t>
            </w:r>
          </w:p>
          <w:p w14:paraId="0000011B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UML-модель: Наличие обязательных диаграмм (вариантов использования, последовательности) + минимум 3 других (напр., классов, состояний, компонентов). Диаграммы должны быть содержательными и отражать ключевые функции системы. Варианты использования должны соответствовать ролевой модели из Модуля А.</w:t>
            </w:r>
          </w:p>
          <w:p w14:paraId="0000011C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Архитектура развертывания (Deployment Diagram): Показывает компоненты системы (веб-сервер, БД, микросервисы), их взаимодействие и внешние интеграции. Наличие элементов отказоустойчивости (балансировщики нагрузки, репликация БД) — серьезное преимущество.</w:t>
            </w:r>
          </w:p>
          <w:p w14:paraId="0000011D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ER-диаграмма: Отражены основные сущности предметной области и связи между ними. Нормализация не ниже 3НФ приветствуется.</w:t>
            </w:r>
          </w:p>
          <w:p w14:paraId="0000011E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Обоснование технологического стека:</w:t>
            </w:r>
            <w:r>
              <w:rPr>
                <w:sz w:val="24"/>
                <w:szCs w:val="24"/>
              </w:rPr>
              <w:t xml:space="preserve"> Упоминание конкретных технологий (напр., "бэкенд на Java/Spring Boot", "фронтенд на React", "БД - PostgreSQL") и краткое обоснование выбора (производительность, сообщество, совместимость) даже без доступа к интернету говорит о глубоких знаниях.</w:t>
            </w:r>
          </w:p>
          <w:p w14:paraId="0000011F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Пользовательский опыт (UX/UI) и функционал </w:t>
            </w:r>
          </w:p>
          <w:p w14:paraId="00000120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Wireframe и дизайн: Эскизы (5+) отражают ключевые сценарии использования из Модуля А. Интерфейс логичен и ориентирован на пользователя (роли из Модуля А). Оценивается не художественная прорисовка, а логика расположения элементов и удобство workflow.</w:t>
            </w:r>
          </w:p>
          <w:p w14:paraId="00000121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Структура и функционал продукта:</w:t>
            </w:r>
            <w:r>
              <w:rPr>
                <w:sz w:val="24"/>
                <w:szCs w:val="24"/>
              </w:rPr>
              <w:t xml:space="preserve"> Описание функций должно показывать, как система закрывает потребности бизнеса, описанные ранее.</w:t>
            </w:r>
          </w:p>
          <w:p w14:paraId="00000122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Сравнительный анализ и экономическое обоснование </w:t>
            </w:r>
          </w:p>
          <w:p w14:paraId="00000123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Сравнение с аналогами: Таблица "Функция — Аналог 1 — Аналог 2 — Наше решение" должна быть наполнена реальными, сравнимыми параметрами. Анализ должен показывать преимущества предлагаемого решения (напр., "отсутствует в аналогах", "реализовано лучше").</w:t>
            </w:r>
          </w:p>
          <w:p w14:paraId="00000124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Анализ чувствительности:</w:t>
            </w:r>
            <w:r>
              <w:rPr>
                <w:sz w:val="24"/>
                <w:szCs w:val="24"/>
              </w:rPr>
              <w:t xml:space="preserve"> Расчет экономического эффекта (например, снижение операционных расходов, рост выручки) для трех сценариев. Показатели должны быть увязаны с KPI из Модуля А. Расчеты должны быть прозрачными и логичными, даже в условиях ограниченного времени.</w:t>
            </w:r>
          </w:p>
          <w:p w14:paraId="00000125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Согласованность с Модулем А </w:t>
            </w:r>
          </w:p>
          <w:p w14:paraId="00000126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Предложенная система является технической реализацией именно тех бизнес-процессов и целей, которые были задекларированы. Любые корректировки должны быть явно указаны и обоснованы. </w:t>
            </w:r>
            <w:r>
              <w:rPr>
                <w:sz w:val="24"/>
                <w:szCs w:val="24"/>
              </w:rPr>
              <w:t>При проверке обязательно использование Методики оценки</w:t>
            </w:r>
          </w:p>
        </w:tc>
      </w:tr>
      <w:tr>
        <w:trPr/>
        <w:tc>
          <w:tcPr>
            <w:cnfStyle w:val="001000100000"/>
            <w:tcW w:w="282" w:type="pct"/>
            <w:shd w:val="clear" w:color="auto" w:fill="00b050"/>
          </w:tcPr>
          <w:p w14:paraId="0000012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</w:t>
            </w:r>
          </w:p>
        </w:tc>
        <w:tc>
          <w:tcPr>
            <w:cnfStyle w:val="000000100000"/>
            <w:tcW w:w="1569" w:type="pct"/>
            <w:shd w:val="clear" w:color="auto" w:fill="92d050"/>
          </w:tcPr>
          <w:p w14:paraId="00000128">
            <w:pPr>
              <w:jc w:val="both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Документирование</w:t>
            </w:r>
          </w:p>
        </w:tc>
        <w:tc>
          <w:tcPr>
            <w:cnfStyle w:val="000000100000"/>
            <w:tcW w:w="3149" w:type="pct"/>
            <w:shd w:val="clear" w:color="auto" w:fill="auto"/>
          </w:tcPr>
          <w:p w14:paraId="00000129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 фокус оценки: Способность создать формализованные, четкие и полные документы, необходимые для передачи решения в разработку и эксплуатацию.</w:t>
            </w:r>
          </w:p>
          <w:p w14:paraId="0000012A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Критерии и ориентиры для эксперта:</w:t>
            </w:r>
          </w:p>
          <w:p w14:paraId="0000012B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Техническое задание </w:t>
            </w:r>
          </w:p>
          <w:p w14:paraId="0000012C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ГОСТ 19.201-78: Проверяется наличие и заполнение всех обязательных разделов стандарта: основание для разработки, наименование, цель, требования к системе (функциональные, надежности, эргономики), стадии разработки. Умение ориентироваться в стандартах без доступа к интернету ценится высоко.</w:t>
            </w:r>
          </w:p>
          <w:p w14:paraId="0000012D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Качество формулировок:</w:t>
            </w:r>
            <w:r>
              <w:rPr>
                <w:sz w:val="24"/>
                <w:szCs w:val="24"/>
              </w:rPr>
              <w:t xml:space="preserve"> Требования должны быть однозначными, проверяемыми и полными. Использование формулировок "система должна предоставлять возможность...".</w:t>
            </w:r>
          </w:p>
          <w:p w14:paraId="0000012E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Программа и методика испытаний</w:t>
            </w:r>
            <w:r>
              <w:rPr>
                <w:sz w:val="24"/>
                <w:szCs w:val="24"/>
              </w:rPr>
              <w:t xml:space="preserve"> </w:t>
            </w:r>
          </w:p>
          <w:p w14:paraId="0000012F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Тест-кейсы: Набор кейсов должен покрывать ключевые сценарии из диаграммы вариантов использования (Модуль Б). Каждый кейс должен иметь четкие шаги, ожидаемый результат и условия выполнения. Наличие кейсов на позитивные и негативные сценарии — преимущество.</w:t>
            </w:r>
          </w:p>
          <w:p w14:paraId="00000130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Структура программы испытаний:</w:t>
            </w:r>
            <w:r>
              <w:rPr>
                <w:sz w:val="24"/>
                <w:szCs w:val="24"/>
              </w:rPr>
              <w:t xml:space="preserve"> Описание среды, целей испытаний, критериев начала/окончания тестирования.</w:t>
            </w:r>
          </w:p>
          <w:p w14:paraId="00000131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Качество и полнота </w:t>
            </w:r>
          </w:p>
          <w:p w14:paraId="00000132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Документы оформлены как единый комплект, стиль изложения профессиональный и технически грамотный. </w:t>
            </w:r>
            <w:r>
              <w:rPr>
                <w:sz w:val="24"/>
                <w:szCs w:val="24"/>
              </w:rPr>
              <w:t>При проверке обязательно использование Методики оценки</w:t>
            </w:r>
          </w:p>
        </w:tc>
      </w:tr>
      <w:tr>
        <w:trPr/>
        <w:tc>
          <w:tcPr>
            <w:cnfStyle w:val="001000010000"/>
            <w:tcW w:w="282" w:type="pct"/>
            <w:shd w:val="clear" w:color="auto" w:fill="00b050"/>
          </w:tcPr>
          <w:p w14:paraId="000001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</w:t>
            </w:r>
          </w:p>
        </w:tc>
        <w:tc>
          <w:tcPr>
            <w:cnfStyle w:val="000000010000"/>
            <w:tcW w:w="1569" w:type="pct"/>
            <w:shd w:val="clear" w:color="auto" w:fill="92d050"/>
          </w:tcPr>
          <w:p w14:paraId="00000134">
            <w:pPr>
              <w:jc w:val="both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Разработка</w:t>
            </w:r>
          </w:p>
        </w:tc>
        <w:tc>
          <w:tcPr>
            <w:cnfStyle w:val="000000010000"/>
            <w:tcW w:w="3149" w:type="pct"/>
            <w:shd w:val="clear" w:color="auto" w:fill="auto"/>
          </w:tcPr>
          <w:p w14:paraId="00000135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Ключевой фокус оценки:</w:t>
            </w:r>
            <w:r>
              <w:rPr>
                <w:bCs/>
                <w:sz w:val="24"/>
                <w:szCs w:val="24"/>
              </w:rPr>
              <w:t xml:space="preserve"> Практическая способность реализовать работоспособный прототип ключевого функционала системы в сжатые сроки, используя релевантные технологические стеки.</w:t>
            </w:r>
          </w:p>
          <w:p w14:paraId="00000136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Критерии и ориентиры для эксперта:</w:t>
            </w:r>
          </w:p>
          <w:p w14:paraId="00000137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Работоспособность и функциональность</w:t>
            </w:r>
            <w:r>
              <w:rPr>
                <w:bCs/>
                <w:sz w:val="24"/>
                <w:szCs w:val="24"/>
              </w:rPr>
              <w:t xml:space="preserve"> </w:t>
            </w:r>
          </w:p>
          <w:p w14:paraId="00000138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Инсталляция и запуск: ПО запускается на тестовой машине эксперта без критических ошибок за разумное время, следуя приложенной инструкции.</w:t>
            </w:r>
          </w:p>
          <w:p w14:paraId="00000139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Корректность работы: Ключевые функции, описанные в ТЗ (Модуль В) и UML (Модуль Б), работают. Результаты тестов подтверждают это.</w:t>
            </w:r>
          </w:p>
          <w:p w14:paraId="0000013A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Техническая реализация </w:t>
            </w:r>
          </w:p>
          <w:p w14:paraId="0000013B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Архитектура и технологии: Предложенное описание архитектуры логично. Выбор технологий (язык программирования, фреймворки, СУБД) обоснован для решения задачи из мини-ТЗ и согласуется с предложениями из Модуля Б, где это возможно.</w:t>
            </w:r>
          </w:p>
          <w:p w14:paraId="0000013C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Качество кода (по возможности): Если эксперты имеют доступ к коду, оценивается его читаемость, структурированность</w:t>
            </w:r>
            <w:r>
              <w:rPr>
                <w:bCs/>
                <w:sz w:val="24"/>
                <w:szCs w:val="24"/>
              </w:rPr>
              <w:t>.</w:t>
            </w:r>
          </w:p>
          <w:p w14:paraId="0000013D">
            <w:pPr>
              <w:spacing w:before="60" w:after="6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Соответствие документации </w:t>
            </w:r>
          </w:p>
          <w:p w14:paraId="0000013E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Реализованный функционал соответствует описанному в ТЗ и предыдущих модулях.</w:t>
            </w:r>
          </w:p>
          <w:p w14:paraId="0000013F">
            <w:pPr>
              <w:spacing w:before="60"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При проверке обязательно использование Методики оценки</w:t>
            </w:r>
          </w:p>
        </w:tc>
      </w:tr>
      <w:tr>
        <w:trPr/>
        <w:tc>
          <w:tcPr>
            <w:cnfStyle w:val="001000100000"/>
            <w:tcW w:w="282" w:type="pct"/>
            <w:shd w:val="clear" w:color="auto" w:fill="00b050"/>
          </w:tcPr>
          <w:p w14:paraId="0000014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</w:t>
            </w:r>
          </w:p>
        </w:tc>
        <w:tc>
          <w:tcPr>
            <w:cnfStyle w:val="000000100000"/>
            <w:tcW w:w="1569" w:type="pct"/>
            <w:shd w:val="clear" w:color="auto" w:fill="92d050"/>
          </w:tcPr>
          <w:p w14:paraId="00000141">
            <w:pPr>
              <w:jc w:val="both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Внедрение</w:t>
            </w:r>
          </w:p>
        </w:tc>
        <w:tc>
          <w:tcPr>
            <w:cnfStyle w:val="000000100000"/>
            <w:tcW w:w="3149" w:type="pct"/>
            <w:shd w:val="clear" w:color="auto" w:fill="auto"/>
          </w:tcPr>
          <w:p w14:paraId="00000142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Ключевой фокус оценки:</w:t>
            </w:r>
            <w:r>
              <w:rPr>
                <w:sz w:val="24"/>
                <w:szCs w:val="24"/>
              </w:rPr>
              <w:t xml:space="preserve"> Способность спланировать практические аспекты внедрения проекта в организации: обучить людей, управлять рисками, посчитать экономику и убедительно презентовать результат руководству.</w:t>
            </w:r>
          </w:p>
          <w:p w14:paraId="00000143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Критерии и ориентиры для эксперта:</w:t>
            </w:r>
          </w:p>
          <w:p w14:paraId="00000144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Проработанность плана внедрения и сопровождения </w:t>
            </w:r>
          </w:p>
          <w:p w14:paraId="00000145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Матрица компетенций и программа обучения: Конкретно указано, каким сотрудникам (ролям из Модуля А) какие навыки требуются. Программа обучения — это не просто "провести тренинг", а расписанный план с темами, форматами и сроками.</w:t>
            </w:r>
          </w:p>
          <w:p w14:paraId="00000146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Регламент сопровождения: Прописаны процедуры поддержки пользователей, получения обратной связи, планирования обновлений. Показано, как система будет устойчиво работать после внедрения.</w:t>
            </w:r>
          </w:p>
          <w:p w14:paraId="00000147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Сценарии критических ситуаций и contingency-plan:</w:t>
            </w:r>
            <w:r>
              <w:rPr>
                <w:sz w:val="24"/>
                <w:szCs w:val="24"/>
              </w:rPr>
              <w:t xml:space="preserve"> Планы реагирования реалистичны и направлены на минимизацию ущерба (напр., "при сбое ИТ-системы на период восстановления активируется резервный процесс с использованием Excel-форм с последующей синхронизацией данных").</w:t>
            </w:r>
          </w:p>
          <w:p w14:paraId="00000148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Риски масштабирования:</w:t>
            </w:r>
            <w:r>
              <w:rPr>
                <w:sz w:val="24"/>
                <w:szCs w:val="24"/>
              </w:rPr>
              <w:t xml:space="preserve"> Участник демонстрирует стратегическое мышление, оценивая, что может пойти не так при росте проекта.</w:t>
            </w:r>
          </w:p>
          <w:p w14:paraId="00000149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Экономические расчеты </w:t>
            </w:r>
          </w:p>
          <w:p w14:paraId="0000014A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 затрат и инвестиционный план: Затраты структурированы (аппаратное обеспечение, лицензии ПО, трудозатраты, обучение). Расчет срока окупаемости (ROI/Payback) для базового и стрессового сценария показывает понимание финансовых рисков проекта.</w:t>
            </w:r>
          </w:p>
          <w:p w14:paraId="0000014B">
            <w:pPr>
              <w:spacing w:before="60" w:after="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Качество презентации и паспорта проекта </w:t>
            </w:r>
          </w:p>
          <w:p w14:paraId="0000014C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 проекта ("х-PROJECT.pdf"):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Является консолидированным документом, собранным из ключевых результатов всех модулей. Должен быть структурирован и удобен для принятия решения руководством.</w:t>
            </w:r>
          </w:p>
          <w:p w14:paraId="0000014D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 ("х-PRESENTATION.pdf") и текст доклада: Презентация ориентирована на "продажу" проекта руководству. Акцент на проблеме, решении и выгодах (в деньгах, времени, качестве), а не на процессе работы. Текст доклада лаконичен, укладывается в 5 минут, содержит убедительные аргументы "почему именно этот проект". </w:t>
            </w:r>
          </w:p>
          <w:p w14:paraId="0000014E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проверке обязательно использование Методики оценки</w:t>
            </w:r>
          </w:p>
        </w:tc>
      </w:tr>
    </w:tbl>
    <w:p w14:paraId="0000014F">
      <w:pPr>
        <w:pStyle w:val="!заголовок-2"/>
        <w:jc w:val="center"/>
        <w:rPr>
          <w:rFonts w:ascii="Times New Roman" w:hAnsi="Times New Roman"/>
          <w:szCs w:val="28"/>
        </w:rPr>
      </w:pPr>
      <w:bookmarkStart w:id="8" w:name="_Toc192873678"/>
      <w:r>
        <w:rPr>
          <w:rFonts w:ascii="Times New Roman" w:hAnsi="Times New Roman"/>
          <w:szCs w:val="28"/>
        </w:rPr>
        <w:t xml:space="preserve">1.5. </w:t>
      </w:r>
      <w:r>
        <w:rPr>
          <w:rFonts w:ascii="Times New Roman" w:hAnsi="Times New Roman"/>
          <w:szCs w:val="28"/>
        </w:rPr>
        <w:t>Содержание конкурсного задания</w:t>
      </w:r>
      <w:bookmarkEnd w:id="8"/>
    </w:p>
    <w:p w14:paraId="00000150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Общая продолжительность Конкурсного задания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footnoteReference w:id="2"/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: 1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5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ч.</w:t>
      </w:r>
    </w:p>
    <w:p w14:paraId="00000151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Количество конкурсных дней: 3 дн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я</w:t>
      </w:r>
    </w:p>
    <w:p w14:paraId="00000152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Вне зависимости от количества модулей, КЗ включа</w:t>
      </w:r>
      <w:r>
        <w:rPr>
          <w:rFonts w:ascii="Times New Roman" w:cs="Times New Roman" w:hAnsi="Times New Roman"/>
          <w:sz w:val="28"/>
          <w:szCs w:val="28"/>
        </w:rPr>
        <w:t xml:space="preserve">ет </w:t>
      </w:r>
      <w:r>
        <w:rPr>
          <w:rFonts w:ascii="Times New Roman" w:cs="Times New Roman" w:hAnsi="Times New Roman"/>
          <w:sz w:val="28"/>
          <w:szCs w:val="28"/>
        </w:rPr>
        <w:t>оценку по каждому из разделов требований компетенции.</w:t>
      </w:r>
    </w:p>
    <w:p w14:paraId="00000153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Оценка знаний участника проводится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14:paraId="00000154">
      <w:pPr>
        <w:pStyle w:val="!заголовок-2"/>
        <w:jc w:val="center"/>
        <w:rPr>
          <w:rFonts w:ascii="Times New Roman" w:hAnsi="Times New Roman"/>
        </w:rPr>
      </w:pPr>
      <w:bookmarkStart w:id="9" w:name="_Toc192873679"/>
      <w:r>
        <w:rPr>
          <w:rFonts w:ascii="Times New Roman" w:hAnsi="Times New Roman"/>
        </w:rPr>
        <w:t>1.5.1. Разработка/выбор конкурсного задания</w:t>
      </w:r>
      <w:bookmarkEnd w:id="9"/>
    </w:p>
    <w:p w14:paraId="00000155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 xml:space="preserve">Конкурсное задание состоит из 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х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 xml:space="preserve"> модулей, включает обязательную к выполнению часть (инвариант) - 3-х модулей, и вариативную часть - 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 xml:space="preserve"> модуля. Общее количество баллов конкурсного задания составляет 100.</w:t>
      </w:r>
    </w:p>
    <w:p w14:paraId="00000156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Обязательная к выполнению часть (инвариант) выполняется всеми регионами без исключения на всех уровнях чемпионатов.</w:t>
      </w:r>
    </w:p>
    <w:p w14:paraId="00000157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ru-RU"/>
        </w:rPr>
        <w:t>Количество модулей из вариативной части, выбирается регионом самостоятельно в зависимости от потребностей работодателей региона в соответствующих специалистах. В случае если ни один из модулей вариативной части не подходит под запрос работодателя конкретного региона, то вариативный(е) модуль(и) формируется регионом самостоятельно под запрос работодателя. При этом, время на выполнение модуля(ей) и количество баллов в критериях оценки по аспектам не меняются (Приложение 3. Матрица конкурсного задания).</w:t>
      </w:r>
    </w:p>
    <w:p w14:paraId="00000158">
      <w:pPr>
        <w:pStyle w:val="!заголовок-2"/>
        <w:jc w:val="center"/>
        <w:rPr>
          <w:rFonts w:ascii="Times New Roman" w:hAnsi="Times New Roman"/>
        </w:rPr>
      </w:pPr>
      <w:bookmarkStart w:id="10" w:name="_Toc192873680"/>
      <w:r>
        <w:rPr>
          <w:rFonts w:ascii="Times New Roman" w:hAnsi="Times New Roman"/>
        </w:rPr>
        <w:t>1.5.2. Структура модулей конкурсного задания</w:t>
      </w:r>
      <w:bookmarkEnd w:id="10"/>
      <w:r>
        <w:rPr>
          <w:rFonts w:ascii="Times New Roman" w:hAnsi="Times New Roman"/>
        </w:rPr>
        <w:t xml:space="preserve"> </w:t>
      </w:r>
    </w:p>
    <w:p w14:paraId="00000159">
      <w:pPr>
        <w:pStyle w:val="!заголовок-2"/>
        <w:spacing w:before="0" w:after="0"/>
        <w:rPr>
          <w:rFonts w:ascii="Times New Roman" w:hAnsi="Times New Roman"/>
          <w:bCs/>
          <w:szCs w:val="28"/>
          <w:lang w:eastAsia="ru-RU"/>
        </w:rPr>
      </w:pPr>
      <w:bookmarkStart w:id="11" w:name="_Toc165382615"/>
      <w:bookmarkStart w:id="12" w:name="_Toc125989618"/>
      <w:bookmarkStart w:id="13" w:name="_Toc192873681"/>
      <w:r>
        <w:rPr>
          <w:rFonts w:ascii="Times New Roman" w:hAnsi="Times New Roman"/>
          <w:bCs/>
          <w:szCs w:val="28"/>
          <w:lang w:eastAsia="ru-RU"/>
        </w:rPr>
        <w:t>Модуль А. Моделирование</w:t>
      </w:r>
      <w:bookmarkEnd w:id="11"/>
      <w:r>
        <w:rPr>
          <w:rFonts w:ascii="Times New Roman" w:hAnsi="Times New Roman"/>
          <w:bCs/>
          <w:szCs w:val="28"/>
          <w:lang w:eastAsia="ru-RU"/>
        </w:rPr>
        <w:t xml:space="preserve"> </w:t>
      </w:r>
      <w:bookmarkEnd w:id="12"/>
      <w:r>
        <w:rPr>
          <w:rFonts w:ascii="Times New Roman" w:hAnsi="Times New Roman"/>
          <w:bCs/>
          <w:szCs w:val="28"/>
          <w:lang w:eastAsia="ru-RU"/>
        </w:rPr>
        <w:t>(инвариант)</w:t>
      </w:r>
      <w:bookmarkEnd w:id="13"/>
    </w:p>
    <w:p w14:paraId="0000015A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Время на выполнение модуля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5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часов</w:t>
      </w:r>
    </w:p>
    <w:p w14:paraId="0000015B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Задание</w:t>
      </w:r>
    </w:p>
    <w:p w14:paraId="0000015C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Общим результатом выполнения Конкурсного задания является разработка проекта по трансформации существующей организации в рамках предложенно</w:t>
      </w:r>
      <w:r>
        <w:rPr>
          <w:rFonts w:ascii="Times New Roman" w:cs="Times New Roman" w:hAnsi="Times New Roman"/>
          <w:sz w:val="28"/>
          <w:szCs w:val="28"/>
        </w:rPr>
        <w:t>го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кейса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  <w:r>
        <w:rPr>
          <w:rFonts w:ascii="Times New Roman" w:cs="Times New Roman" w:hAnsi="Times New Roman"/>
          <w:sz w:val="28"/>
          <w:szCs w:val="28"/>
        </w:rPr>
        <w:t>Кейс будет открыт конкурсантам и экспертам</w:t>
      </w:r>
      <w:r>
        <w:rPr>
          <w:rFonts w:ascii="Times New Roman" w:cs="Times New Roman" w:hAnsi="Times New Roman"/>
          <w:sz w:val="28"/>
          <w:szCs w:val="28"/>
        </w:rPr>
        <w:t xml:space="preserve"> непосредственно перед началом работы Конкурсант</w:t>
      </w:r>
      <w:r>
        <w:rPr>
          <w:rFonts w:ascii="Times New Roman" w:cs="Times New Roman" w:hAnsi="Times New Roman"/>
          <w:sz w:val="28"/>
          <w:szCs w:val="28"/>
        </w:rPr>
        <w:t>ов</w:t>
      </w:r>
      <w:r>
        <w:rPr>
          <w:rFonts w:ascii="Times New Roman" w:cs="Times New Roman" w:hAnsi="Times New Roman"/>
          <w:sz w:val="28"/>
          <w:szCs w:val="28"/>
        </w:rPr>
        <w:t>, возможно будут предоставлены дополнительные материалы.</w:t>
      </w:r>
    </w:p>
    <w:p w14:paraId="0000015D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Ознакомьтесь с тематикой: проанализируйте ее, подумайте над тем, какой проект трансформации вы хотите предложить, подготовьте вопросы к экспертам. Для этого, используйте открытую информацию из сети Интернет, а также, ваши собственные знания и опыт. </w:t>
      </w:r>
    </w:p>
    <w:p w14:paraId="0000015E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Обратите внимание: время разрешенного доступа в Интернет для анализа предметной области - 60 минут до брифинга с экспертом. </w:t>
      </w:r>
      <w:r>
        <w:rPr>
          <w:rFonts w:ascii="Times New Roman" w:cs="Times New Roman" w:hAnsi="Times New Roman"/>
          <w:sz w:val="28"/>
          <w:szCs w:val="28"/>
        </w:rPr>
        <w:br w:type="textWrapping"/>
      </w:r>
      <w:r>
        <w:rPr>
          <w:rFonts w:ascii="Times New Roman" w:cs="Times New Roman" w:hAnsi="Times New Roman"/>
          <w:sz w:val="28"/>
          <w:szCs w:val="28"/>
        </w:rPr>
        <w:t xml:space="preserve">Далее доступ к сети Интернет будет запрещен. </w:t>
      </w:r>
    </w:p>
    <w:p w14:paraId="0000015F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Ровно через 60 минут 00 секунд после старта времени работы над данным модулем будет организован </w:t>
      </w:r>
      <w:r>
        <w:rPr>
          <w:rFonts w:ascii="Times New Roman" w:cs="Times New Roman" w:hAnsi="Times New Roman"/>
          <w:sz w:val="28"/>
          <w:szCs w:val="28"/>
        </w:rPr>
        <w:t>30</w:t>
      </w:r>
      <w:r>
        <w:rPr>
          <w:rFonts w:ascii="Times New Roman" w:cs="Times New Roman" w:hAnsi="Times New Roman"/>
          <w:sz w:val="28"/>
          <w:szCs w:val="28"/>
        </w:rPr>
        <w:t xml:space="preserve">-ти минутный общий брифинг. На нем </w:t>
      </w:r>
      <w:r>
        <w:rPr>
          <w:rFonts w:ascii="Times New Roman" w:cs="Times New Roman" w:hAnsi="Times New Roman"/>
          <w:sz w:val="28"/>
          <w:szCs w:val="28"/>
        </w:rPr>
        <w:t>конкурсант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может задать 5 вопросов подряд. Порядок озвучивания вопросов соответствует номерам </w:t>
      </w:r>
      <w:r>
        <w:rPr>
          <w:rFonts w:ascii="Times New Roman" w:cs="Times New Roman" w:hAnsi="Times New Roman"/>
          <w:sz w:val="28"/>
          <w:szCs w:val="28"/>
        </w:rPr>
        <w:t>конкурсантов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160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Если после озвучивания вопросов и ответов от всех </w:t>
      </w:r>
      <w:r>
        <w:rPr>
          <w:rFonts w:ascii="Times New Roman" w:cs="Times New Roman" w:hAnsi="Times New Roman"/>
          <w:sz w:val="28"/>
          <w:szCs w:val="28"/>
        </w:rPr>
        <w:t>конкурсантов</w:t>
      </w:r>
      <w:r>
        <w:rPr>
          <w:rFonts w:ascii="Times New Roman" w:cs="Times New Roman" w:hAnsi="Times New Roman"/>
          <w:sz w:val="28"/>
          <w:szCs w:val="28"/>
        </w:rPr>
        <w:t xml:space="preserve"> остается время до конца брифинга – организуется дополнительный круги вопросов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до тех пор, пока время не закончится. Обратите внимание на все слова экспертов – каждое из них может оказаться решающим в понимании проблематики. Также обратите внимание на стиль общения с экспертами.</w:t>
      </w:r>
    </w:p>
    <w:p w14:paraId="00000161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Сформулируйте гипотезу об эффективном направлении развития организации, найдите и структурируйте данные, обосновывающие вашу гипотезу. </w:t>
      </w:r>
    </w:p>
    <w:p w14:paraId="00000162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Проанализируйте открытые источники и выделите не менее трех актуальных вызовов (внешних и внутренних), стоящих перед организацией. Представьте карту рисков (risk-map), отражающую угрозы и возможные меры их нейтрализации.</w:t>
      </w:r>
    </w:p>
    <w:p w14:paraId="00000163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Перед началом основной работы каждый участник должен составить краткий визуальный профиль кейсовой организации в формате «организация в 1 слайде»: ключевые характеристики, уровень зрелости процессов, предположения о контексте изменений.</w:t>
      </w:r>
    </w:p>
    <w:p w14:paraId="00000164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 отчёте отразить как минимум одну краткосрочную и одну долгосрочную гипотезу развития организации, и объяснить различие между ними.</w:t>
      </w:r>
    </w:p>
    <w:p w14:paraId="00000165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Проведите стратегический анализ организации в разрезе текущей ситуации и предметной области тематики, включая SWOT- и PEST-анализ</w:t>
      </w:r>
      <w:r>
        <w:rPr>
          <w:rFonts w:ascii="Times New Roman" w:cs="Times New Roman" w:hAnsi="Times New Roman"/>
          <w:sz w:val="28"/>
          <w:szCs w:val="28"/>
        </w:rPr>
        <w:t xml:space="preserve">.  </w:t>
      </w:r>
      <w:r>
        <w:rPr>
          <w:rFonts w:ascii="Times New Roman" w:cs="Times New Roman" w:hAnsi="Times New Roman"/>
          <w:sz w:val="28"/>
          <w:szCs w:val="28"/>
        </w:rPr>
        <w:t xml:space="preserve">Дополнительно разработайте матрицу «проблема — заинтересованная сторона — интерес — точка конфликта».  </w:t>
      </w:r>
      <w:r>
        <w:rPr>
          <w:rFonts w:ascii="Times New Roman" w:cs="Times New Roman" w:hAnsi="Times New Roman"/>
          <w:sz w:val="28"/>
          <w:szCs w:val="28"/>
        </w:rPr>
        <w:t>С</w:t>
      </w:r>
      <w:r>
        <w:rPr>
          <w:rFonts w:ascii="Times New Roman" w:cs="Times New Roman" w:hAnsi="Times New Roman"/>
          <w:sz w:val="28"/>
          <w:szCs w:val="28"/>
        </w:rPr>
        <w:t xml:space="preserve">формулируйте в формате SMART-E дерево целей проекта, не менее </w:t>
      </w:r>
      <w:r>
        <w:rPr>
          <w:rFonts w:ascii="Times New Roman" w:cs="Times New Roman" w:hAnsi="Times New Roman"/>
          <w:sz w:val="28"/>
          <w:szCs w:val="28"/>
        </w:rPr>
        <w:t>4</w:t>
      </w:r>
      <w:r>
        <w:rPr>
          <w:rFonts w:ascii="Times New Roman" w:cs="Times New Roman" w:hAnsi="Times New Roman"/>
          <w:sz w:val="28"/>
          <w:szCs w:val="28"/>
        </w:rPr>
        <w:t xml:space="preserve"> основных задач для их достижения, предложите качественные и количественные показатели его эффективности.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 w14:paraId="00000166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 основании результатов зафиксируйте существующую и предложите новую модель проходящих в ней бизнес-процессов (IDEF, BPMN) с учетом использования разрабатываемой информационной системы или иного </w:t>
      </w:r>
      <w:r>
        <w:rPr>
          <w:rFonts w:ascii="Times New Roman" w:cs="Times New Roman" w:hAnsi="Times New Roman"/>
          <w:sz w:val="28"/>
          <w:szCs w:val="28"/>
        </w:rPr>
        <w:t>цифрового продукта на основе современных цифровых технологий. Опишите функционал разрабатываемого цифрового продукта.</w:t>
      </w:r>
    </w:p>
    <w:p w14:paraId="00000167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Опишите ключевые архитектурные принципы будущей организационной структуры (тип, иерархия, гибкость, устойчивость), затем предложите вариант схемы новой структуры на их основе.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Сформулируйте и опишите ролевую модель для всех новых сотрудников организации, сотрудников чьи функциональные обязанности как-либо изменятся после внедрения вашего проекта. Если ваш цифровой продукт предполагает взаимодействие с внешней средой – то включите в ролевую модель и сотрудников (частных лиц) из нее.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Включите 1–2 сценария взаимодействия между ролями на примере типичных ситуаций (например, инцидент, эскалация, изменение).</w:t>
      </w:r>
    </w:p>
    <w:p w14:paraId="00000168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Результат работы оформите в виде отчета в свободной форме,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 xml:space="preserve"> сохраненный в виде одного PDF-документа с именем «x-01.pdf», где x – номер 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>рабочего места</w:t>
      </w:r>
      <w:r>
        <w:rPr>
          <w:rFonts w:ascii="Times New Roman" w:cs="Times New Roman" w:hAnsi="Times New Roman"/>
          <w:sz w:val="28"/>
          <w:szCs w:val="28"/>
        </w:rPr>
        <w:t xml:space="preserve">. В нем должна быть представлена следующая информация: </w:t>
      </w:r>
    </w:p>
    <w:p w14:paraId="00000169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список используемых источников; </w:t>
      </w:r>
    </w:p>
    <w:p w14:paraId="0000016A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подготовленные вопросы к экспертам и полученные ответы от них; </w:t>
      </w:r>
    </w:p>
    <w:p w14:paraId="0000016B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выявленные из источников и ответов экспертов факты; </w:t>
      </w:r>
    </w:p>
    <w:p w14:paraId="0000016C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сформулированная гипотеза о трендах развития предметной области;</w:t>
      </w:r>
    </w:p>
    <w:p w14:paraId="0000016D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PEST-анализ; </w:t>
      </w:r>
    </w:p>
    <w:p w14:paraId="0000016E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SWOT-анализ; </w:t>
      </w:r>
    </w:p>
    <w:p w14:paraId="0000016F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выбранная стратегия развития организации; </w:t>
      </w:r>
    </w:p>
    <w:p w14:paraId="00000170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основная стратегическая цель трансформации; </w:t>
      </w:r>
    </w:p>
    <w:p w14:paraId="00000171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дерево целей и задач проекта трансформации организации; </w:t>
      </w:r>
    </w:p>
    <w:p w14:paraId="00000172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показатели эффективности достижения целей; </w:t>
      </w:r>
    </w:p>
    <w:p w14:paraId="00000173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существующие бизнес-процессы; </w:t>
      </w:r>
    </w:p>
    <w:p w14:paraId="00000174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новые бизнес-процессы; </w:t>
      </w:r>
    </w:p>
    <w:p w14:paraId="00000175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список изменений в бизнес-процессах; </w:t>
      </w:r>
    </w:p>
    <w:p w14:paraId="00000176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архитектурное описание новой организационной структуры и схема структуры (на основе принципов проектирования);</w:t>
      </w:r>
    </w:p>
    <w:p w14:paraId="00000177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ролевая модель новой организационной структуры;</w:t>
      </w:r>
    </w:p>
    <w:p w14:paraId="00000178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сценарии взаимодействия между ролями;</w:t>
      </w:r>
    </w:p>
    <w:p w14:paraId="00000179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 нового цифрового продукта;</w:t>
      </w:r>
    </w:p>
    <w:p w14:paraId="0000017A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реорганизации предприятия</w:t>
      </w:r>
      <w:r>
        <w:rPr>
          <w:rFonts w:ascii="Times New Roman" w:hAnsi="Times New Roman"/>
          <w:sz w:val="28"/>
          <w:szCs w:val="28"/>
        </w:rPr>
        <w:t>;</w:t>
      </w:r>
    </w:p>
    <w:p w14:paraId="0000017B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карта рисков и меры их нейтрализации;</w:t>
      </w:r>
    </w:p>
    <w:p w14:paraId="0000017C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матрица «проблема — заинтересованная сторона — интерес — конфликт»</w:t>
      </w:r>
      <w:r>
        <w:rPr>
          <w:rFonts w:ascii="Times New Roman" w:eastAsiaTheme="minorHAnsi" w:hAnsi="Times New Roman"/>
          <w:sz w:val="28"/>
          <w:szCs w:val="28"/>
        </w:rPr>
        <w:t>;</w:t>
      </w:r>
    </w:p>
    <w:p w14:paraId="0000017D">
      <w:pPr>
        <w:pStyle w:val="ListParagraph"/>
        <w:numPr>
          <w:ilvl w:val="0"/>
          <w:numId w:val="39"/>
        </w:numPr>
        <w:spacing w:after="0" w:line="360" w:lineRule="auto"/>
        <w:ind w:left="851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план-график ключевых изменений (roadmap) в формате Gantt или Kanban-сетки.</w:t>
      </w:r>
    </w:p>
    <w:p w14:paraId="0000017E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Согласованность и логическая взаимосвязь каждого раздела Отчета со всеми остальными имеют важное значение. </w:t>
      </w:r>
    </w:p>
    <w:p w14:paraId="0000017F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Во время работы над модулем Интернет доступен</w:t>
      </w:r>
      <w:r>
        <w:rPr>
          <w:rFonts w:ascii="Times New Roman" w:cs="Times New Roman" w:hAnsi="Times New Roman"/>
          <w:sz w:val="28"/>
          <w:szCs w:val="28"/>
        </w:rPr>
        <w:t xml:space="preserve"> в течение 60 минут</w:t>
      </w:r>
      <w:r>
        <w:rPr>
          <w:rFonts w:ascii="Times New Roman" w:cs="Times New Roman" w:hAnsi="Times New Roman"/>
          <w:sz w:val="28"/>
          <w:szCs w:val="28"/>
        </w:rPr>
        <w:t xml:space="preserve">, однако с любыми целями запрещается использовать информационные ресурсы после авторизации, сетевые диски, мессенджеры, ресурсы с генеративными способами формирования текста или изображений, репозитории </w:t>
      </w:r>
      <w:r>
        <w:rPr>
          <w:rFonts w:ascii="Times New Roman" w:cs="Times New Roman" w:hAnsi="Times New Roman"/>
          <w:sz w:val="28"/>
          <w:szCs w:val="28"/>
          <w:lang w:val="en-US"/>
        </w:rPr>
        <w:t>GitHub</w:t>
      </w:r>
      <w:r>
        <w:rPr>
          <w:rFonts w:ascii="Times New Roman" w:cs="Times New Roman" w:hAnsi="Times New Roman"/>
          <w:sz w:val="28"/>
          <w:szCs w:val="28"/>
        </w:rPr>
        <w:t xml:space="preserve"> или аналоги,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Stack Overflow - </w:t>
      </w:r>
      <w:r>
        <w:rPr>
          <w:rFonts w:ascii="Times New Roman" w:hAnsi="Times New Roman"/>
          <w:sz w:val="28"/>
          <w:szCs w:val="28"/>
        </w:rPr>
        <w:t>сайт вопросов и ответов для программистов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 xml:space="preserve"> социальные сети, а также любые иные Интернет-ресурсы с целями, отличными от поиска открытой информации по данной предметной области. </w:t>
      </w:r>
      <w:r>
        <w:rPr>
          <w:rFonts w:ascii="Times New Roman" w:cs="Times New Roman" w:hAnsi="Times New Roman"/>
          <w:sz w:val="28"/>
          <w:szCs w:val="28"/>
        </w:rPr>
        <w:t xml:space="preserve">Во время работы с интернетом запрещено скачивание материалов. </w:t>
      </w:r>
    </w:p>
    <w:p w14:paraId="00000180">
      <w:pPr>
        <w:pStyle w:val="!заголовок-2"/>
        <w:spacing w:before="0" w:after="0"/>
        <w:ind w:firstLine="709"/>
        <w:rPr>
          <w:rFonts w:ascii="Times New Roman" w:hAnsi="Times New Roman"/>
          <w:bCs/>
          <w:szCs w:val="28"/>
          <w:lang w:eastAsia="ru-RU"/>
        </w:rPr>
      </w:pPr>
      <w:bookmarkStart w:id="14" w:name="_Toc125989619"/>
      <w:bookmarkStart w:id="15" w:name="_Toc165382616"/>
      <w:bookmarkStart w:id="16" w:name="_Toc192873682"/>
    </w:p>
    <w:p w14:paraId="00000181">
      <w:pPr>
        <w:pStyle w:val="!заголовок-2"/>
        <w:spacing w:before="0" w:after="0"/>
        <w:rPr>
          <w:rFonts w:ascii="Times New Roman" w:hAnsi="Times New Roman"/>
          <w:bCs/>
          <w:szCs w:val="28"/>
          <w:lang w:eastAsia="ru-RU"/>
        </w:rPr>
      </w:pPr>
      <w:r>
        <w:rPr>
          <w:rFonts w:ascii="Times New Roman" w:hAnsi="Times New Roman"/>
          <w:bCs/>
          <w:szCs w:val="28"/>
          <w:lang w:eastAsia="ru-RU"/>
        </w:rPr>
        <w:t>Модуль Б. Проектирование</w:t>
      </w:r>
      <w:bookmarkEnd w:id="14"/>
      <w:bookmarkEnd w:id="15"/>
      <w:r>
        <w:rPr>
          <w:rFonts w:ascii="Times New Roman" w:hAnsi="Times New Roman"/>
          <w:bCs/>
          <w:szCs w:val="28"/>
          <w:lang w:eastAsia="ru-RU"/>
        </w:rPr>
        <w:t xml:space="preserve"> (инвариант)</w:t>
      </w:r>
      <w:bookmarkEnd w:id="16"/>
    </w:p>
    <w:p w14:paraId="00000182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Время на выполнение модуля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4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час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а</w:t>
      </w:r>
    </w:p>
    <w:p w14:paraId="00000183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Задание</w:t>
      </w:r>
    </w:p>
    <w:p w14:paraId="00000184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Для перевода в цифровую форму предложенных выше бизнес-процессов вам необходимо спроектировать информационную систему (или иной цифровой продукт), которая основывается на современных технологиях, охватывает различные удобные для данной предметной области платформы и технологии, позволяет интегрироваться в имеющиеся решения организации или доступные на рынке продукты и цифровые сервисы. Именно данная система (продукт) </w:t>
      </w:r>
      <w:r>
        <w:rPr>
          <w:rFonts w:ascii="Times New Roman" w:cs="Times New Roman" w:hAnsi="Times New Roman"/>
          <w:sz w:val="28"/>
          <w:szCs w:val="28"/>
        </w:rPr>
        <w:t xml:space="preserve">является необходимым и достаточным для перехода на предложенные ранее бизнес-процессы. </w:t>
      </w:r>
    </w:p>
    <w:p w14:paraId="00000185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Вы можете разработать ее как для всех бизнес-процессов, так и для их части – но это решение следует обосновать. </w:t>
      </w:r>
      <w:r>
        <w:rPr>
          <w:rFonts w:ascii="Times New Roman" w:cs="Times New Roman" w:hAnsi="Times New Roman"/>
          <w:sz w:val="28"/>
          <w:szCs w:val="28"/>
        </w:rPr>
        <w:t>При необходимости уточните или скорректируйте ранее предложенные бизнес-процессы — это допустимо, при условии, что они будут описаны как уточнённая версия предыдущей модели, и отражены в новой версии отчёта</w:t>
      </w:r>
      <w:r>
        <w:t xml:space="preserve">. </w:t>
      </w:r>
      <w:r>
        <w:rPr>
          <w:rFonts w:ascii="Times New Roman" w:cs="Times New Roman" w:hAnsi="Times New Roman"/>
          <w:sz w:val="28"/>
          <w:szCs w:val="28"/>
        </w:rPr>
        <w:t xml:space="preserve">Мультиплатформенность цифрового продукта будет достоинством вашей разработки. </w:t>
      </w:r>
    </w:p>
    <w:p w14:paraId="00000186">
      <w:pPr>
        <w:spacing w:after="0" w:line="360" w:lineRule="auto"/>
        <w:ind w:firstLine="567"/>
        <w:jc w:val="both"/>
        <w:rPr>
          <w:rFonts w:ascii="Times New Roman" w:cs="Times New Roman" w:hAnsi="Times New Roman"/>
          <w:i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конце работы по данному модулю представьте модель информационной системы в </w:t>
      </w:r>
      <w:r>
        <w:rPr>
          <w:rFonts w:ascii="Times New Roman" w:cs="Times New Roman" w:hAnsi="Times New Roman"/>
          <w:sz w:val="28"/>
          <w:szCs w:val="28"/>
        </w:rPr>
        <w:t xml:space="preserve">нотации UML как минимум с </w:t>
      </w:r>
      <w:r>
        <w:rPr>
          <w:rFonts w:ascii="Times New Roman" w:cs="Times New Roman" w:hAnsi="Times New Roman"/>
          <w:sz w:val="28"/>
          <w:szCs w:val="28"/>
        </w:rPr>
        <w:t>5</w:t>
      </w:r>
      <w:r>
        <w:rPr>
          <w:rFonts w:ascii="Times New Roman" w:cs="Times New Roman" w:hAnsi="Times New Roman"/>
          <w:sz w:val="28"/>
          <w:szCs w:val="28"/>
        </w:rPr>
        <w:t xml:space="preserve">-ю </w:t>
      </w:r>
      <w:r>
        <w:rPr>
          <w:rFonts w:ascii="Times New Roman" w:cs="Times New Roman" w:hAnsi="Times New Roman"/>
          <w:sz w:val="28"/>
          <w:szCs w:val="28"/>
        </w:rPr>
        <w:t xml:space="preserve"> разными диаграммами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-х разных типов.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Минимально обязательными являются диаграмма вариантов использования и диаграмма последовательности; остальные выбираются в зависимости от специфики проекта.</w:t>
      </w:r>
    </w:p>
    <w:p w14:paraId="00000187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Дополнительно представьте UX/UI.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 w14:paraId="00000188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Разработайте архитектурную схему развертывания (deployment diagram), включающую внешние зависимости и сценарии отказоустойчивости. Проведите сравнительный анализ минимум двух аналогов с визуализацией результатов в виде таблицы «Функция — Аналог 1 — Аналог 2 — Наше решение».</w:t>
      </w:r>
    </w:p>
    <w:p w14:paraId="00000189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Т.к. на данном этапе уже сформировано понимание что и как будет трансформировано в организации – подтвердите свои предложения расчетом экономического эффекта от внедрения. Сформулируйте экономические метрики и другие измеряемые показатели для отслеживания эффекта от трансформации. </w:t>
      </w:r>
      <w:r>
        <w:rPr>
          <w:rFonts w:ascii="Times New Roman" w:cs="Times New Roman" w:hAnsi="Times New Roman"/>
          <w:sz w:val="28"/>
          <w:szCs w:val="28"/>
        </w:rPr>
        <w:t>Представьте расчёты на примере трёх сценариев: пессимистичного, реалистичного и оптимистичного (анализ чувствительности).</w:t>
      </w:r>
    </w:p>
    <w:p w14:paraId="0000018A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Результат оформите в виде Отчета в свободной форме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 xml:space="preserve"> сохраненный в виде одного PDF-документа с именем «x.02.pdf», где x – номер 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>рабочего места</w:t>
      </w:r>
      <w:r>
        <w:rPr>
          <w:rFonts w:ascii="Times New Roman" w:cs="Times New Roman" w:hAnsi="Times New Roman"/>
          <w:sz w:val="28"/>
          <w:szCs w:val="28"/>
        </w:rPr>
        <w:t xml:space="preserve">. Полный состав дополняющих модель цифрового продукта разделов Отчета отражен в следующем перечне: </w:t>
      </w:r>
    </w:p>
    <w:p w14:paraId="0000018B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модель информационной системы в соответствии с UML-2 (включая диаграмму прецедентов и не менее трех других диаграмм); </w:t>
      </w:r>
    </w:p>
    <w:p w14:paraId="0000018C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структуру цифрового продукта; </w:t>
      </w:r>
    </w:p>
    <w:p w14:paraId="0000018D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Wireframe-эскизы (не менее 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) страниц (экранных форм) МДО системы; </w:t>
      </w:r>
    </w:p>
    <w:p w14:paraId="0000018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дизайна компонент разрабатываемой системы (не менее двух страниц или экранных форм); </w:t>
      </w:r>
    </w:p>
    <w:p w14:paraId="0000018F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модель баз </w:t>
      </w:r>
      <w:r>
        <w:rPr>
          <w:rFonts w:ascii="Times New Roman" w:hAnsi="Times New Roman"/>
          <w:sz w:val="28"/>
          <w:szCs w:val="28"/>
        </w:rPr>
        <w:t>данных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ER</w:t>
      </w:r>
      <w:r>
        <w:rPr>
          <w:rFonts w:ascii="Times New Roman" w:hAnsi="Times New Roman"/>
          <w:sz w:val="28"/>
          <w:szCs w:val="28"/>
        </w:rPr>
        <w:t>-диаграмма)</w:t>
      </w:r>
      <w:r>
        <w:rPr>
          <w:rFonts w:ascii="Times New Roman" w:hAnsi="Times New Roman"/>
          <w:sz w:val="28"/>
          <w:szCs w:val="28"/>
        </w:rPr>
        <w:t xml:space="preserve">; </w:t>
      </w:r>
    </w:p>
    <w:p w14:paraId="0000019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архитектура отказоустойчивости и модели интеграции с внешними системами;</w:t>
      </w:r>
    </w:p>
    <w:p w14:paraId="00000191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аналогов;</w:t>
      </w:r>
    </w:p>
    <w:p w14:paraId="00000192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чувствительности</w:t>
      </w:r>
      <w:r>
        <w:rPr>
          <w:rFonts w:ascii="Times New Roman" w:hAnsi="Times New Roman"/>
          <w:sz w:val="28"/>
          <w:szCs w:val="28"/>
        </w:rPr>
        <w:t xml:space="preserve"> на основании метрик</w:t>
      </w:r>
      <w:r>
        <w:rPr>
          <w:rFonts w:ascii="Times New Roman" w:hAnsi="Times New Roman"/>
          <w:sz w:val="28"/>
          <w:szCs w:val="28"/>
        </w:rPr>
        <w:t xml:space="preserve"> для расч</w:t>
      </w:r>
      <w:r>
        <w:rPr>
          <w:rFonts w:ascii="Times New Roman" w:hAnsi="Times New Roman"/>
          <w:sz w:val="28"/>
          <w:szCs w:val="28"/>
        </w:rPr>
        <w:t>ета экономической эффективности.</w:t>
      </w:r>
    </w:p>
    <w:p w14:paraId="00000193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Согласованность и логическая взаимосвязь каждого раздела Отчета со всеми остальными, а также предыдущими Отчетами имеют важное значение. </w:t>
      </w:r>
    </w:p>
    <w:p w14:paraId="00000194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bookmarkStart w:id="17" w:name="_Toc125989620"/>
      <w:r>
        <w:rPr>
          <w:rFonts w:ascii="Times New Roman" w:cs="Times New Roman" w:hAnsi="Times New Roman"/>
          <w:sz w:val="28"/>
          <w:szCs w:val="28"/>
        </w:rPr>
        <w:t xml:space="preserve">Во время работы над модулем </w:t>
      </w:r>
      <w:r>
        <w:rPr>
          <w:rFonts w:ascii="Times New Roman" w:cs="Times New Roman" w:hAnsi="Times New Roman"/>
          <w:sz w:val="28"/>
          <w:szCs w:val="28"/>
        </w:rPr>
        <w:t>доступ к сети Интернет запрещен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195">
      <w:pPr>
        <w:pStyle w:val="!заголовок-2"/>
        <w:spacing w:before="0" w:after="0"/>
        <w:ind w:firstLine="709"/>
        <w:rPr>
          <w:rFonts w:ascii="Times New Roman" w:hAnsi="Times New Roman"/>
          <w:bCs/>
          <w:szCs w:val="28"/>
          <w:lang w:eastAsia="ru-RU"/>
        </w:rPr>
      </w:pPr>
      <w:bookmarkStart w:id="18" w:name="_Toc165382617"/>
      <w:bookmarkStart w:id="19" w:name="_Toc192873683"/>
    </w:p>
    <w:p w14:paraId="00000196">
      <w:pPr>
        <w:pStyle w:val="!заголовок-2"/>
        <w:spacing w:before="0" w:after="0"/>
        <w:rPr>
          <w:rFonts w:ascii="Times New Roman" w:hAnsi="Times New Roman"/>
          <w:bCs/>
          <w:szCs w:val="28"/>
          <w:lang w:eastAsia="ru-RU"/>
        </w:rPr>
      </w:pPr>
      <w:r>
        <w:rPr>
          <w:rFonts w:ascii="Times New Roman" w:hAnsi="Times New Roman"/>
          <w:bCs/>
          <w:szCs w:val="28"/>
          <w:lang w:eastAsia="ru-RU"/>
        </w:rPr>
        <w:t>Модуль В.</w:t>
      </w:r>
      <w:r>
        <w:rPr>
          <w:rFonts w:ascii="Times New Roman" w:hAnsi="Times New Roman"/>
          <w:szCs w:val="28"/>
          <w:lang w:eastAsia="ru-RU"/>
        </w:rPr>
        <w:t xml:space="preserve"> Документирование</w:t>
      </w:r>
      <w:bookmarkEnd w:id="18"/>
      <w:r>
        <w:rPr>
          <w:rFonts w:ascii="Times New Roman" w:hAnsi="Times New Roman"/>
          <w:szCs w:val="28"/>
          <w:lang w:eastAsia="ru-RU"/>
        </w:rPr>
        <w:t xml:space="preserve"> </w:t>
      </w:r>
      <w:bookmarkEnd w:id="17"/>
      <w:r>
        <w:rPr>
          <w:rFonts w:ascii="Times New Roman" w:hAnsi="Times New Roman"/>
          <w:szCs w:val="28"/>
          <w:lang w:eastAsia="ru-RU"/>
        </w:rPr>
        <w:t>(инвариант)</w:t>
      </w:r>
      <w:bookmarkEnd w:id="19"/>
    </w:p>
    <w:p w14:paraId="00000197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b/>
          <w:i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 xml:space="preserve">Время на выполнение модуля – 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>1 час 30 минут</w:t>
      </w:r>
    </w:p>
    <w:p w14:paraId="00000198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Задание</w:t>
      </w:r>
    </w:p>
    <w:p w14:paraId="00000199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Вам необходимо разработать комплект программной и пользовательской документации для цифрового продукта, включая следующие документы. </w:t>
      </w:r>
    </w:p>
    <w:p w14:paraId="0000019A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и методика испытаний, включая описание необходимого и достаточного набора тест-кейсов. </w:t>
      </w:r>
    </w:p>
    <w:p w14:paraId="0000019B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 задание на разработку МДО (в соответствии с ГОСТ 19.201-78)</w:t>
      </w:r>
      <w:r>
        <w:rPr>
          <w:rFonts w:ascii="Times New Roman" w:hAnsi="Times New Roman"/>
          <w:sz w:val="28"/>
          <w:szCs w:val="28"/>
        </w:rPr>
        <w:t>:</w:t>
      </w:r>
    </w:p>
    <w:p w14:paraId="0000019C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Результат работы оформите в виде отчета в свободной форме,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 xml:space="preserve"> сохраненный в виде одного PDF-документа с именем «x-03.pdf», где x – номер </w:t>
      </w:r>
      <w:r>
        <w:rPr>
          <w:rFonts w:ascii="Times New Roman" w:cs="Times New Roman" w:eastAsia="Times New Roman" w:hAnsi="Times New Roman"/>
          <w:bCs/>
          <w:sz w:val="28"/>
          <w:szCs w:val="28"/>
        </w:rPr>
        <w:t>рабочего места</w:t>
      </w:r>
      <w:r>
        <w:rPr>
          <w:rFonts w:ascii="Times New Roman" w:cs="Times New Roman" w:hAnsi="Times New Roman"/>
          <w:sz w:val="28"/>
          <w:szCs w:val="28"/>
        </w:rPr>
        <w:t xml:space="preserve">. Согласованность и логическая взаимосвязь каждого раздела Отчета со всеми остальными, а также предыдущими Отчетами имеют важное значение. </w:t>
      </w:r>
    </w:p>
    <w:p w14:paraId="0000019D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bookmarkStart w:id="20" w:name="_Toc165382618"/>
      <w:r>
        <w:rPr>
          <w:rFonts w:ascii="Times New Roman" w:cs="Times New Roman" w:hAnsi="Times New Roman"/>
          <w:sz w:val="28"/>
          <w:szCs w:val="28"/>
        </w:rPr>
        <w:t xml:space="preserve">Во время работы над модулем </w:t>
      </w:r>
      <w:r>
        <w:rPr>
          <w:rFonts w:ascii="Times New Roman" w:cs="Times New Roman" w:hAnsi="Times New Roman"/>
          <w:sz w:val="28"/>
          <w:szCs w:val="28"/>
        </w:rPr>
        <w:t>доступ к сети Интернет запрещен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19E">
      <w:pPr>
        <w:pStyle w:val="!заголовок-2"/>
        <w:spacing w:before="0" w:after="0"/>
        <w:rPr>
          <w:rFonts w:ascii="Times New Roman" w:hAnsi="Times New Roman"/>
          <w:bCs/>
          <w:szCs w:val="28"/>
          <w:lang w:eastAsia="ru-RU"/>
        </w:rPr>
      </w:pPr>
      <w:bookmarkStart w:id="21" w:name="_Toc192873684"/>
      <w:r>
        <w:rPr>
          <w:rFonts w:ascii="Times New Roman" w:hAnsi="Times New Roman"/>
          <w:bCs/>
          <w:szCs w:val="28"/>
          <w:lang w:eastAsia="ru-RU"/>
        </w:rPr>
        <w:t>Модуль Г.</w:t>
      </w:r>
      <w:r>
        <w:rPr>
          <w:rFonts w:ascii="Times New Roman" w:hAnsi="Times New Roman"/>
          <w:szCs w:val="28"/>
          <w:lang w:eastAsia="ru-RU"/>
        </w:rPr>
        <w:t xml:space="preserve"> Разработка</w:t>
      </w:r>
      <w:bookmarkEnd w:id="20"/>
      <w:r>
        <w:rPr>
          <w:rFonts w:ascii="Times New Roman" w:hAnsi="Times New Roman"/>
          <w:szCs w:val="28"/>
          <w:lang w:eastAsia="ru-RU"/>
        </w:rPr>
        <w:t xml:space="preserve"> </w:t>
      </w:r>
      <w:r>
        <w:rPr>
          <w:rFonts w:ascii="Times New Roman" w:hAnsi="Times New Roman"/>
          <w:szCs w:val="28"/>
          <w:lang w:eastAsia="ru-RU"/>
        </w:rPr>
        <w:t>(вариатив)</w:t>
      </w:r>
      <w:bookmarkEnd w:id="21"/>
    </w:p>
    <w:p w14:paraId="0000019F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b/>
          <w:i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 xml:space="preserve">Время на выполнение модуля – 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 xml:space="preserve"> час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>а</w:t>
      </w:r>
    </w:p>
    <w:p w14:paraId="000001A0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Задание</w:t>
      </w:r>
    </w:p>
    <w:p w14:paraId="000001A1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Для проверки компетенций команды в области ИТ вам предлагается выполнить небольшое тестовое задание по тематике проекта. Вы получите его в виде мини-ТЗ непосредственно перед началом данного модуля. </w:t>
      </w:r>
    </w:p>
    <w:p w14:paraId="000001A2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Результат работы должен представлять собой Отчет в свободной о разработанной информационной системе (цифровом продукте), сохраненный в виде одного PDF-документа с именем «x-04.pdf», где x – номер </w:t>
      </w:r>
      <w:r>
        <w:rPr>
          <w:rFonts w:ascii="Times New Roman" w:cs="Times New Roman" w:hAnsi="Times New Roman"/>
          <w:sz w:val="28"/>
          <w:szCs w:val="28"/>
        </w:rPr>
        <w:t>рабочего места</w:t>
      </w:r>
      <w:r>
        <w:rPr>
          <w:rFonts w:ascii="Times New Roman" w:cs="Times New Roman" w:hAnsi="Times New Roman"/>
          <w:sz w:val="28"/>
          <w:szCs w:val="28"/>
        </w:rPr>
        <w:t xml:space="preserve">, и включающий в себя: </w:t>
      </w:r>
    </w:p>
    <w:p w14:paraId="000001A3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инструкцию по инсталляции и запуску разработанного программного обеспечения и пароли доступа к нему (если требуются); </w:t>
      </w:r>
    </w:p>
    <w:p w14:paraId="000001A4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дополнительную информацию, которую необходимо сообщить для проверки вашего программного обеспечения в произвольной форме</w:t>
      </w:r>
      <w:r>
        <w:rPr>
          <w:rFonts w:ascii="Times New Roman" w:hAnsi="Times New Roman"/>
          <w:sz w:val="28"/>
          <w:szCs w:val="28"/>
        </w:rPr>
        <w:t>;</w:t>
      </w:r>
    </w:p>
    <w:p w14:paraId="000001A5">
      <w:pPr>
        <w:pStyle w:val="ListParagraph"/>
        <w:numPr>
          <w:ilvl w:val="0"/>
          <w:numId w:val="40"/>
        </w:numPr>
        <w:spacing w:after="0" w:line="360" w:lineRule="auto"/>
        <w:jc w:val="both"/>
        <w:rPr/>
      </w:pPr>
      <w:r>
        <w:rPr>
          <w:rFonts w:ascii="Times New Roman" w:hAnsi="Times New Roman"/>
          <w:iCs/>
          <w:sz w:val="28"/>
          <w:szCs w:val="28"/>
        </w:rPr>
        <w:t>краткое описание архитектуры и выбранных технологий реализации, а также причины, по которым они были выбраны;</w:t>
      </w:r>
    </w:p>
    <w:p w14:paraId="000001A6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результаты минимального набора ручных или автоматических тестов, подтверждающих корректность работы ключевых функций.</w:t>
      </w:r>
    </w:p>
    <w:p w14:paraId="000001A7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Все разработанное ПО должно быть сохранено в виде ZIP-архива с именем «х-PO.zip», где x – номер команды. ПО должно быть готово к демонстрации работоспособности на любой ЭВМ (с учетом выполнения прилагаемых инструкций за разумное время). </w:t>
      </w:r>
    </w:p>
    <w:p w14:paraId="000001A8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Разработанное ПО должно соответствовать ранее переданной на проверку документации. </w:t>
      </w:r>
    </w:p>
    <w:p w14:paraId="000001A9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bookmarkStart w:id="22" w:name="_Toc125989622"/>
      <w:bookmarkStart w:id="23" w:name="_Toc165382619"/>
      <w:r>
        <w:rPr>
          <w:rFonts w:ascii="Times New Roman" w:cs="Times New Roman" w:hAnsi="Times New Roman"/>
          <w:sz w:val="28"/>
          <w:szCs w:val="28"/>
        </w:rPr>
        <w:t xml:space="preserve">Во время работы над модулем </w:t>
      </w:r>
      <w:r>
        <w:rPr>
          <w:rFonts w:ascii="Times New Roman" w:cs="Times New Roman" w:hAnsi="Times New Roman"/>
          <w:sz w:val="28"/>
          <w:szCs w:val="28"/>
        </w:rPr>
        <w:t>доступ к сети Интернет запрещен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1AA">
      <w:pPr>
        <w:pStyle w:val="!заголовок-2"/>
        <w:spacing w:before="0" w:after="0"/>
        <w:ind w:firstLine="709"/>
        <w:rPr>
          <w:rFonts w:ascii="Times New Roman" w:hAnsi="Times New Roman"/>
          <w:szCs w:val="28"/>
          <w:lang w:eastAsia="ru-RU"/>
        </w:rPr>
      </w:pPr>
      <w:bookmarkStart w:id="24" w:name="_Toc192873685"/>
    </w:p>
    <w:p w14:paraId="000001AB">
      <w:pPr>
        <w:pStyle w:val="!заголовок-2"/>
        <w:spacing w:before="0" w:after="0"/>
        <w:rPr>
          <w:rFonts w:ascii="Times New Roman" w:hAnsi="Times New Roman"/>
          <w:szCs w:val="28"/>
          <w:lang w:eastAsia="ru-RU"/>
        </w:rPr>
      </w:pPr>
      <w:r>
        <w:rPr>
          <w:rFonts w:ascii="Times New Roman" w:hAnsi="Times New Roman"/>
          <w:szCs w:val="28"/>
          <w:lang w:eastAsia="ru-RU"/>
        </w:rPr>
        <w:t>Модуль Д.</w:t>
      </w:r>
      <w:r>
        <w:rPr>
          <w:rFonts w:ascii="Times New Roman" w:hAnsi="Times New Roman"/>
          <w:color w:val="000000"/>
          <w:szCs w:val="28"/>
          <w:lang w:eastAsia="ru-RU"/>
        </w:rPr>
        <w:t xml:space="preserve"> Внедрение</w:t>
      </w:r>
      <w:bookmarkEnd w:id="22"/>
      <w:bookmarkEnd w:id="23"/>
      <w:r>
        <w:rPr>
          <w:rFonts w:ascii="Times New Roman" w:hAnsi="Times New Roman"/>
          <w:color w:val="000000"/>
          <w:szCs w:val="28"/>
          <w:lang w:eastAsia="ru-RU"/>
        </w:rPr>
        <w:t xml:space="preserve"> (вариатив)</w:t>
      </w:r>
      <w:bookmarkEnd w:id="24"/>
    </w:p>
    <w:p w14:paraId="000001AC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b/>
          <w:i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 xml:space="preserve">Время на выполнение модуля – 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>3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 xml:space="preserve"> час</w:t>
      </w:r>
      <w:r>
        <w:rPr>
          <w:rFonts w:ascii="Times New Roman" w:cs="Times New Roman" w:eastAsia="Times New Roman" w:hAnsi="Times New Roman"/>
          <w:b/>
          <w:iCs/>
          <w:sz w:val="28"/>
          <w:szCs w:val="28"/>
        </w:rPr>
        <w:t>а</w:t>
      </w:r>
    </w:p>
    <w:p w14:paraId="000001AD">
      <w:pPr>
        <w:spacing w:after="0" w:line="36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Задание</w:t>
      </w:r>
    </w:p>
    <w:p w14:paraId="000001AE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bCs/>
          <w:sz w:val="28"/>
          <w:szCs w:val="28"/>
        </w:rPr>
      </w:pPr>
    </w:p>
    <w:p w14:paraId="000001AF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Для внедрения новых бизнес-процессов и обучения персонала использования предлагаемым цифровым продуктом вам необходимо: </w:t>
      </w:r>
    </w:p>
    <w:p w14:paraId="000001B0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матрицу компетенций сотрудников организации; </w:t>
      </w:r>
    </w:p>
    <w:p w14:paraId="000001B1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программу обучения сотрудников организации; </w:t>
      </w:r>
    </w:p>
    <w:p w14:paraId="000001B2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затраты на внедрение новых процессов и цифрового продукта</w:t>
      </w:r>
      <w:r>
        <w:rPr>
          <w:rFonts w:ascii="Times New Roman" w:hAnsi="Times New Roman"/>
          <w:sz w:val="28"/>
          <w:szCs w:val="28"/>
        </w:rPr>
        <w:t xml:space="preserve">; </w:t>
      </w:r>
    </w:p>
    <w:p w14:paraId="000001B3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2 сценария критических ситуаций (форс-мажор, сопротивление персонала, сбой в ИТ-системе) и план реагирования на них в виде contingency-plan.</w:t>
      </w:r>
    </w:p>
    <w:p w14:paraId="000001B4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блок с оценкой возможных рисков при масштабировании проекта на всю организацию или на другие территории.</w:t>
      </w:r>
    </w:p>
    <w:p w14:paraId="000001B5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Разработать регламент сопровождения внедрённой системы (поддержка, обновления, обратная связь, оценка устойчивости);</w:t>
      </w:r>
    </w:p>
    <w:p w14:paraId="000001B6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разработать инвестиционный план с расчетом срока окупаемости (ROI/Payback) по двум сценариям: базовому и стрессовому.</w:t>
      </w:r>
    </w:p>
    <w:p w14:paraId="000001B7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Собрать соответствующие результаты работ предыдущих модулей и сформировать Паспорт проекта цифровой трансформации. </w:t>
      </w:r>
    </w:p>
    <w:p w14:paraId="000001B8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Также для выступления с обоснованием вашего Проекта сделайте презентацию работы, представив свои идеи и все полученные результаты. В ней должны присутствовать все достигнутые результаты – минимум 12 актуальных и содержательных слайдов. </w:t>
      </w:r>
    </w:p>
    <w:p w14:paraId="000001B9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Во время очной презентации аргументировано и содержательно докажите, почему руководство должно выделить ресурсы именно на ваш проект цифровой трансформации. Обратите внимание, что оно ждет от вас аргументов необходимости и актуальности проекта, вашей способности его выполнить, а не отчета о проделанной за 3 дня работе. </w:t>
      </w:r>
    </w:p>
    <w:p w14:paraId="000001BA"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У вас будет не более </w:t>
      </w:r>
      <w:r>
        <w:rPr>
          <w:rFonts w:ascii="Times New Roman" w:cs="Times New Roman" w:hAnsi="Times New Roman"/>
          <w:sz w:val="28"/>
          <w:szCs w:val="28"/>
        </w:rPr>
        <w:t>5</w:t>
      </w:r>
      <w:r>
        <w:rPr>
          <w:rFonts w:ascii="Times New Roman" w:cs="Times New Roman" w:hAnsi="Times New Roman"/>
          <w:sz w:val="28"/>
          <w:szCs w:val="28"/>
        </w:rPr>
        <w:t xml:space="preserve"> минут на очное представление своих результатов, включая ответы на вопросы. В течение этого времени вам надо будет выступить перед экспертами с разработанной презентацией. </w:t>
      </w:r>
    </w:p>
    <w:p w14:paraId="000001BB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Результат работы должен представлять: </w:t>
      </w:r>
    </w:p>
    <w:p w14:paraId="000001BC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сборный документ с именем «х-PROJECT.pdf» (где x – номер рабочего места).; </w:t>
      </w:r>
    </w:p>
    <w:p w14:paraId="000001BD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подготовленную презентация для представления агрегированного результата работы команды – PDF-документ с именем «х-PRESENTATION.pdf». </w:t>
      </w:r>
    </w:p>
    <w:p w14:paraId="000001BE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регламент внедрения и сопровождения цифрового продукта;</w:t>
      </w:r>
    </w:p>
    <w:p w14:paraId="000001BF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доклада к презентации – PDF-документ с именем «х-TEXT.pdf».</w:t>
      </w:r>
    </w:p>
    <w:p w14:paraId="000001C0">
      <w:pPr>
        <w:spacing w:after="0" w:line="360" w:lineRule="auto"/>
        <w:ind w:left="92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 время работы над модулем доступ к сети Интернет запрещен. </w:t>
      </w:r>
    </w:p>
    <w:p w14:paraId="000001C1">
      <w:pPr>
        <w:spacing w:after="0" w:line="360" w:lineRule="auto"/>
        <w:contextualSpacing w:val="on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 w14:paraId="000001C2">
      <w:pPr>
        <w:pStyle w:val="!Заголовок-1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25" w:name="_Toc78885643"/>
      <w:bookmarkStart w:id="26" w:name="_Toc192873686"/>
      <w:r>
        <w:rPr>
          <w:rFonts w:ascii="Times New Roman" w:hAnsi="Times New Roman"/>
          <w:color w:val="auto"/>
          <w:sz w:val="28"/>
          <w:szCs w:val="28"/>
        </w:rPr>
        <w:t>2. СПЕЦИАЛЬНЫЕ ПРАВИЛА КОМПЕТЕНЦИИ</w:t>
      </w:r>
      <w:r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3"/>
      </w:r>
      <w:bookmarkEnd w:id="25"/>
      <w:bookmarkEnd w:id="26"/>
    </w:p>
    <w:p w14:paraId="000001C3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Задание публикуется не позднее чем за 14 дней до чемпионата. Публикуемое конкурсное задание содержит </w:t>
      </w:r>
      <w:r>
        <w:rPr>
          <w:rFonts w:ascii="Times New Roman" w:cs="Times New Roman" w:hAnsi="Times New Roman"/>
          <w:sz w:val="28"/>
          <w:szCs w:val="28"/>
        </w:rPr>
        <w:t>кейс</w:t>
      </w:r>
      <w:r>
        <w:rPr>
          <w:rFonts w:ascii="Times New Roman" w:cs="Times New Roman" w:hAnsi="Times New Roman"/>
          <w:sz w:val="28"/>
          <w:szCs w:val="28"/>
        </w:rPr>
        <w:t>. Ресурсы к выполнению задания, типы диаграмм и требования к типу документации не подлежат публикации и предоставляются только перед выполнением задания.</w:t>
      </w:r>
      <w:r>
        <w:rPr>
          <w:rFonts w:ascii="Times New Roman" w:cs="Times New Roman" w:hAnsi="Times New Roman"/>
          <w:sz w:val="28"/>
          <w:szCs w:val="28"/>
        </w:rPr>
        <w:t xml:space="preserve"> Кейс предоставляется главному эксперту в Д-2 Менеджером компетенции.</w:t>
      </w:r>
    </w:p>
    <w:p w14:paraId="000001C4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Тематика Конкурсного задания доносится до сведения Конкурсантов не ранее чем за 15 минут до начала работы над модулем А, она является секретной для всех участников. </w:t>
      </w:r>
    </w:p>
    <w:p w14:paraId="000001C5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Задание модуля Г «Разработка» доносится до сведения Конкурсантов не ранее чем за 15 минут до начала работы над модулем. Задание формируется экспертами и утверждается Главным экспертом во время работы Конкурсантов над модулем В «Документирование». Оно является секретным. </w:t>
      </w:r>
    </w:p>
    <w:p w14:paraId="000001C6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роли эксперта, которому задают вопросы Конкурсанты во время работы надо модулем А могут выступать: </w:t>
      </w:r>
    </w:p>
    <w:p w14:paraId="000001C7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менеджер компетенции в режиме ВКС или назначенный им эксперт;</w:t>
      </w:r>
    </w:p>
    <w:p w14:paraId="000001C8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 xml:space="preserve">приглашенный специалист (представитель работодателя, эксперт в области); </w:t>
      </w:r>
    </w:p>
    <w:p w14:paraId="000001C9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>один из экспертов, аккредитованный на площадке (Главный эксперт или эксперт-</w:t>
      </w:r>
      <w:r>
        <w:rPr>
          <w:rFonts w:ascii="Times New Roman" w:eastAsiaTheme="minorHAnsi" w:hAnsi="Times New Roman"/>
          <w:sz w:val="28"/>
          <w:szCs w:val="28"/>
        </w:rPr>
        <w:t>методист</w:t>
      </w:r>
      <w:r>
        <w:rPr>
          <w:rFonts w:ascii="Times New Roman" w:eastAsiaTheme="minorHAnsi" w:hAnsi="Times New Roman"/>
          <w:sz w:val="28"/>
          <w:szCs w:val="28"/>
        </w:rPr>
        <w:t xml:space="preserve"> по поручению Главного эксперта). </w:t>
      </w:r>
    </w:p>
    <w:p w14:paraId="000001CA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Перед началом работы Главный эксперт должен утвердить Методику оценки, которая определяет признаки выполнения аспектов. При оценке использование Методики оценки обязательно. </w:t>
      </w:r>
    </w:p>
    <w:p w14:paraId="000001CB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 случае любого нерегламентированного использования сети Интернет или получения Конкурсантами каким-либо способом нерегламентированной информации, которая может способствовать получению преимущества, результаты за соответствующий модуль (и) могут быть обнулены в установленном порядке.</w:t>
      </w:r>
    </w:p>
    <w:p w14:paraId="000001CC">
      <w:pPr>
        <w:spacing w:after="0" w:line="360" w:lineRule="auto"/>
        <w:ind w:firstLine="567"/>
        <w:jc w:val="both"/>
        <w:rPr>
          <w:rFonts w:ascii="Times New Roman" w:cs="Times New Roman" w:hAnsi="Times New Roman"/>
          <w:sz w:val="28"/>
          <w:szCs w:val="28"/>
        </w:rPr>
      </w:pPr>
    </w:p>
    <w:p w14:paraId="000001CD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Конкурсное задание должно быть изменено экспертами на 30% от опубликованного варианта. Вносимые изменения не должны выходить за рамки перечня материалов и оборудования, перечисленных в инфраструктурном листе компетенции. Внесение 30% изменений не должно вести к упрощению конкурсного задания.</w:t>
      </w:r>
    </w:p>
    <w:p w14:paraId="000001CE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После внесения 30% изменений конкурсанты получают только обобщенную оценочную ведомость (если применимо). Конкурсанты не получают подробную ведомость схемы оценки.</w:t>
      </w:r>
    </w:p>
    <w:p w14:paraId="000001CF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По истечении времени, отведенного на выполнение модуля, конкурсант закрывает все приложения на ПК и встает со своего рабочего места. Добавление времени для сохранения </w:t>
      </w:r>
      <w:r>
        <w:rPr>
          <w:rFonts w:ascii="Times New Roman" w:cs="Times New Roman" w:hAnsi="Times New Roman"/>
          <w:sz w:val="28"/>
          <w:szCs w:val="28"/>
        </w:rPr>
        <w:t>работ</w:t>
      </w:r>
      <w:r>
        <w:rPr>
          <w:rFonts w:ascii="Times New Roman" w:cs="Times New Roman" w:hAnsi="Times New Roman"/>
          <w:sz w:val="28"/>
          <w:szCs w:val="28"/>
        </w:rPr>
        <w:t xml:space="preserve"> не допускается.</w:t>
      </w:r>
    </w:p>
    <w:p w14:paraId="000001D0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Проверка конкурсных работ выполняется на рабочих местах экспертных групп согласно типового ИЛ. </w:t>
      </w:r>
    </w:p>
    <w:p w14:paraId="000001D1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После проведения жеребьевки конкурсантам предоставляется 30 минут на знакомство с рабочим местом, проверку оборудования и подготовку рабочего места. После этого 30 минут отводится на проверку сетевых ресурсов и инфраструктуры и 60 минут на подготовку сред разработки.</w:t>
      </w:r>
    </w:p>
    <w:p w14:paraId="000001D2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Все созданные во время ознакомления репозитории и базы данных будут удалены на серверах. </w:t>
      </w:r>
    </w:p>
    <w:p w14:paraId="000001D3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Во время ознакомления с рабочим местом конкурсантам запрещено выполнять работы по реализации конкурсного задания. </w:t>
      </w:r>
    </w:p>
    <w:p w14:paraId="000001D4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После ознакомления с рабочим местом конкурсантам будет предоставлено 15 минут на ознакомление с конкурсным заданием с учетом 30% изменений.</w:t>
      </w:r>
    </w:p>
    <w:p w14:paraId="000001D5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Экспертам разрешается делать фото их конкурсантов во время чемпионата только по согласованию с главным экспертом.</w:t>
      </w:r>
    </w:p>
    <w:p w14:paraId="000001D6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Конкурсантам разрешается использовать личные устройства для фото- и видеосъемки на рабочей площадке только после завершения конкурса.</w:t>
      </w:r>
    </w:p>
    <w:p w14:paraId="000001D7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Экспертам разрешается пользоваться личными компьютерами, планшетами, мобильными телефонами или смарт-часами находясь в помещении для экспертов, за исключением случаев, когда в этом помещении находятся документы, имеющие отношение к соревнованию.</w:t>
      </w:r>
    </w:p>
    <w:p w14:paraId="000001D8">
      <w:pPr>
        <w:pStyle w:val="!заголовок-2"/>
        <w:ind w:firstLine="709"/>
        <w:jc w:val="center"/>
        <w:rPr>
          <w:rFonts w:ascii="Times New Roman" w:hAnsi="Times New Roman"/>
        </w:rPr>
      </w:pPr>
      <w:bookmarkStart w:id="27" w:name="_Toc78885659"/>
      <w:bookmarkStart w:id="28" w:name="_Toc192873687"/>
      <w:r>
        <w:rPr>
          <w:rFonts w:ascii="Times New Roman" w:hAnsi="Times New Roman"/>
          <w:color w:val="000000"/>
        </w:rPr>
        <w:t xml:space="preserve">2.1. </w:t>
      </w:r>
      <w:bookmarkEnd w:id="27"/>
      <w:r>
        <w:rPr>
          <w:rFonts w:ascii="Times New Roman" w:hAnsi="Times New Roman"/>
        </w:rPr>
        <w:t>Личный инструмент конкурсанта</w:t>
      </w:r>
      <w:bookmarkEnd w:id="28"/>
    </w:p>
    <w:tbl>
      <w:tblPr>
        <w:tblW w:w="962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972"/>
        <w:gridCol w:w="6657"/>
      </w:tblGrid>
      <w:tr>
        <w:trPr>
          <w:jc w:val="center"/>
        </w:trPr>
        <w:tc>
          <w:tcPr>
            <w:cnfStyle w:val="000000100000"/>
            <w:tcW w:w="2972" w:type="dxa"/>
            <w:shd w:val="clear" w:color="ffffff" w:fill="92d050"/>
            <w:vAlign w:val="center"/>
          </w:tcPr>
          <w:p w14:paraId="000001D9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  <w:t>Область</w:t>
            </w:r>
          </w:p>
        </w:tc>
        <w:tc>
          <w:tcPr>
            <w:cnfStyle w:val="000000100000"/>
            <w:tcW w:w="6657" w:type="dxa"/>
            <w:shd w:val="clear" w:color="ffffff" w:fill="92d050"/>
            <w:vAlign w:val="center"/>
          </w:tcPr>
          <w:p w14:paraId="000001DA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color w:val="ffffff"/>
                <w:sz w:val="24"/>
                <w:szCs w:val="24"/>
              </w:rPr>
              <w:t>Правила</w:t>
            </w:r>
          </w:p>
        </w:tc>
      </w:tr>
      <w:tr>
        <w:trPr>
          <w:jc w:val="center"/>
        </w:trPr>
        <w:tc>
          <w:tcPr>
            <w:cnfStyle w:val="000000010000"/>
            <w:tcW w:w="2972" w:type="dxa"/>
            <w:vAlign w:val="center"/>
          </w:tcPr>
          <w:p w14:paraId="000001DB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Прослушивание музыки во время соревнований</w:t>
            </w:r>
          </w:p>
        </w:tc>
        <w:tc>
          <w:tcPr>
            <w:cnfStyle w:val="000000010000"/>
            <w:tcW w:w="6657" w:type="dxa"/>
            <w:vAlign w:val="center"/>
          </w:tcPr>
          <w:p w14:paraId="000001DC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Конкурсанты могут слушать музыку. Наушники и музыка в виде файлов должны быть предварительно сданы техническому эксперту для проверки. В день ознакомления конкурсантам разрешается принести карту памяти, содержащую не более 30 треков длительностью не более 7 минут каждый. Вся музыка будет упорядочена и проверена. Принесенная музыка будет хранится на серверах для конкурсантов, к которым они будут иметь доступ.</w:t>
            </w:r>
          </w:p>
        </w:tc>
      </w:tr>
      <w:tr>
        <w:trPr>
          <w:jc w:val="center"/>
        </w:trPr>
        <w:tc>
          <w:tcPr>
            <w:cnfStyle w:val="000000100000"/>
            <w:tcW w:w="2972" w:type="dxa"/>
            <w:vAlign w:val="center"/>
          </w:tcPr>
          <w:p w14:paraId="000001DD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Клавиатура и мышь</w:t>
            </w:r>
          </w:p>
        </w:tc>
        <w:tc>
          <w:tcPr>
            <w:cnfStyle w:val="000000100000"/>
            <w:tcW w:w="6657" w:type="dxa"/>
            <w:vAlign w:val="center"/>
          </w:tcPr>
          <w:p w14:paraId="000001DE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Конкурсанты могут принести с собой свои клавиатуры, мышки и коврики для мышек. Все принесенные клавиатуры, мышки и коврики должны быть предварительно сданы на проверку техническому эксперту. Запрещено использование клавиатур и мышек с подключением по беспроводным каналам. Устройства ввода не должны быть программируемыми.</w:t>
            </w:r>
          </w:p>
        </w:tc>
      </w:tr>
      <w:tr>
        <w:trPr>
          <w:jc w:val="center"/>
        </w:trPr>
        <w:tc>
          <w:tcPr>
            <w:cnfStyle w:val="000000010000"/>
            <w:tcW w:w="2972" w:type="dxa"/>
            <w:vAlign w:val="center"/>
          </w:tcPr>
          <w:p w14:paraId="000001DF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Техника безопасности и охрана труда</w:t>
            </w:r>
          </w:p>
        </w:tc>
        <w:tc>
          <w:tcPr>
            <w:cnfStyle w:val="000000010000"/>
            <w:tcW w:w="6657" w:type="dxa"/>
            <w:vAlign w:val="center"/>
          </w:tcPr>
          <w:p w14:paraId="000001E0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Конкурсанты могут использовать защиту для ушей (беруши, шумоподавляющие наушники).</w:t>
            </w:r>
          </w:p>
        </w:tc>
      </w:tr>
      <w:tr>
        <w:trPr>
          <w:jc w:val="center"/>
        </w:trPr>
        <w:tc>
          <w:tcPr>
            <w:cnfStyle w:val="000000100000"/>
            <w:tcW w:w="2972" w:type="dxa"/>
            <w:vAlign w:val="center"/>
          </w:tcPr>
          <w:p w14:paraId="000001E1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Ознакомление</w:t>
            </w:r>
          </w:p>
        </w:tc>
        <w:tc>
          <w:tcPr>
            <w:cnfStyle w:val="000000100000"/>
            <w:tcW w:w="6657" w:type="dxa"/>
            <w:vAlign w:val="center"/>
          </w:tcPr>
          <w:p w14:paraId="000001E2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После проведения жеребьевки конкурсантам предоставляется 30 минут на знакомство с рабочим местом, проверку оборудования и подготовку рабочего места. После этого 30 минут отводится на проверку сетевых ресурсов и инфраструктуры и 60 минут на подготовку сред разработки.</w:t>
            </w:r>
          </w:p>
          <w:p w14:paraId="000001E3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Все созданные во время ознакомления репозитории и базы данных будут удалены.</w:t>
            </w:r>
          </w:p>
        </w:tc>
      </w:tr>
      <w:tr>
        <w:trPr>
          <w:jc w:val="center"/>
        </w:trPr>
        <w:tc>
          <w:tcPr>
            <w:cnfStyle w:val="000000010000"/>
            <w:tcW w:w="2972" w:type="dxa"/>
            <w:vAlign w:val="center"/>
          </w:tcPr>
          <w:p w14:paraId="000001E4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Использование устройств фото- и видеосъемки</w:t>
            </w:r>
          </w:p>
        </w:tc>
        <w:tc>
          <w:tcPr>
            <w:cnfStyle w:val="000000010000"/>
            <w:tcW w:w="6657" w:type="dxa"/>
            <w:vAlign w:val="center"/>
          </w:tcPr>
          <w:p w14:paraId="000001E5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Экспертам разрешается делать фото их конкурсантов во время чемпионата.</w:t>
            </w:r>
          </w:p>
          <w:p w14:paraId="000001E6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Экспертам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 согласованию с Главным экспертом.</w:t>
            </w:r>
          </w:p>
          <w:p w14:paraId="000001E7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Конкурсантам разрешается использовать личные устройства для фото- и видеосъемки на рабочей площадке только после завершения конкурса.</w:t>
            </w:r>
          </w:p>
        </w:tc>
      </w:tr>
      <w:tr>
        <w:trPr>
          <w:jc w:val="center"/>
        </w:trPr>
        <w:tc>
          <w:tcPr>
            <w:cnfStyle w:val="000000100000"/>
            <w:tcW w:w="2972" w:type="dxa"/>
            <w:vAlign w:val="center"/>
          </w:tcPr>
          <w:p w14:paraId="000001E8">
            <w:pPr>
              <w:spacing w:after="0" w:line="276" w:lineRule="auto"/>
              <w:contextualSpacing w:val="on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Использование персональных мобильных устройств (ноутбуки, планшеты, мобильные телефоны, смарт-часы)</w:t>
            </w:r>
          </w:p>
        </w:tc>
        <w:tc>
          <w:tcPr>
            <w:cnfStyle w:val="000000100000"/>
            <w:tcW w:w="6657" w:type="dxa"/>
            <w:vAlign w:val="center"/>
          </w:tcPr>
          <w:p w14:paraId="000001E9">
            <w:pPr>
              <w:spacing w:after="0" w:line="276" w:lineRule="auto"/>
              <w:contextualSpacing w:val="on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Экспертам разрешается пользоваться личными компьютерами, планшетами, мобильными телефонами или смарт-часами находясь в помещении для экспертов, за исключением случаев, когда в этом помещении находятся документы, имеющие отношение к соревнованию.</w:t>
            </w:r>
          </w:p>
        </w:tc>
      </w:tr>
    </w:tbl>
    <w:p w14:paraId="000001EA">
      <w:pPr>
        <w:pStyle w:val="!заголовок-2"/>
        <w:ind w:firstLine="709"/>
        <w:rPr>
          <w:rFonts w:ascii="Times New Roman" w:hAnsi="Times New Roman"/>
        </w:rPr>
      </w:pPr>
      <w:bookmarkStart w:id="29" w:name="_Toc78885660"/>
      <w:bookmarkStart w:id="30" w:name="_Toc192873688"/>
      <w:r>
        <w:rPr>
          <w:rFonts w:ascii="Times New Roman" w:hAnsi="Times New Roman"/>
        </w:rPr>
        <w:t>2.2.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Материалы, оборудование и инструменты, запрещенные на площадке</w:t>
      </w:r>
      <w:bookmarkEnd w:id="29"/>
      <w:bookmarkEnd w:id="30"/>
    </w:p>
    <w:p w14:paraId="000001EB">
      <w:pPr>
        <w:tabs>
          <w:tab w:val="left" w:pos="993"/>
        </w:tabs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</w:t>
      </w:r>
      <w:r>
        <w:rPr>
          <w:rFonts w:ascii="Times New Roman" w:cs="Times New Roman" w:hAnsi="Times New Roman"/>
          <w:sz w:val="28"/>
          <w:szCs w:val="28"/>
        </w:rPr>
        <w:tab/>
        <w:t>Дополнительное программное обеспечение;</w:t>
      </w:r>
    </w:p>
    <w:p w14:paraId="000001EC">
      <w:pPr>
        <w:tabs>
          <w:tab w:val="left" w:pos="993"/>
        </w:tabs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</w:t>
      </w:r>
      <w:r>
        <w:rPr>
          <w:rFonts w:ascii="Times New Roman" w:cs="Times New Roman" w:hAnsi="Times New Roman"/>
          <w:sz w:val="28"/>
          <w:szCs w:val="28"/>
        </w:rPr>
        <w:tab/>
        <w:t>Любые портативные устройства связи, такие как мобильные телефоны или смарт-часы;</w:t>
      </w:r>
    </w:p>
    <w:p w14:paraId="000001ED">
      <w:pPr>
        <w:tabs>
          <w:tab w:val="left" w:pos="993"/>
        </w:tabs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</w:t>
      </w:r>
      <w:r>
        <w:rPr>
          <w:rFonts w:ascii="Times New Roman" w:cs="Times New Roman" w:hAnsi="Times New Roman"/>
          <w:sz w:val="28"/>
          <w:szCs w:val="28"/>
        </w:rPr>
        <w:tab/>
        <w:t>Портативные цифровые устройства (планшет, КПК и т.д.);</w:t>
      </w:r>
    </w:p>
    <w:p w14:paraId="000001EE">
      <w:pPr>
        <w:tabs>
          <w:tab w:val="left" w:pos="993"/>
        </w:tabs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•</w:t>
      </w:r>
      <w:r>
        <w:rPr>
          <w:rFonts w:ascii="Times New Roman" w:cs="Times New Roman" w:hAnsi="Times New Roman"/>
          <w:sz w:val="28"/>
          <w:szCs w:val="28"/>
        </w:rPr>
        <w:tab/>
        <w:t>Внешние запоминающие устройства (карты памяти, флэш-накопители и т.д.);</w:t>
      </w:r>
    </w:p>
    <w:p w14:paraId="000001EF">
      <w:pPr>
        <w:spacing w:after="0" w:line="360" w:lineRule="auto"/>
        <w:ind w:firstLine="709"/>
        <w:contextualSpacing w:val="on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Эксперты обладают правом запретить определенное оборудование в зоне конкурса.</w:t>
      </w:r>
    </w:p>
    <w:p w14:paraId="000001F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 w14:paraId="000001F1">
      <w:pPr>
        <w:pStyle w:val="!Заголовок-1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1" w:name="_Toc192873689"/>
      <w:r>
        <w:rPr>
          <w:rFonts w:ascii="Times New Roman" w:hAnsi="Times New Roman"/>
          <w:color w:val="auto"/>
          <w:sz w:val="28"/>
          <w:szCs w:val="28"/>
        </w:rPr>
        <w:t>3. Приложения</w:t>
      </w:r>
      <w:bookmarkEnd w:id="31"/>
    </w:p>
    <w:p w14:paraId="000001F2">
      <w:pPr>
        <w:spacing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Приложение 1. Инструкция по заполнению матрицы конкурсного задания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1F3">
      <w:pPr>
        <w:spacing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Приложение 2. Матрица конкурсного задания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1F4">
      <w:pPr>
        <w:spacing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Приложение 3. Инструкция по охране труда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1F5">
      <w:pPr>
        <w:spacing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Приложение 4. Чек-лист компетенции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1F6">
      <w:pPr>
        <w:spacing w:after="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Приложение </w:t>
      </w:r>
      <w:r>
        <w:rPr>
          <w:rFonts w:ascii="Times New Roman" w:cs="Times New Roman" w:hAnsi="Times New Roman"/>
          <w:sz w:val="28"/>
          <w:szCs w:val="28"/>
        </w:rPr>
        <w:t>5</w:t>
      </w:r>
      <w:r>
        <w:rPr>
          <w:rFonts w:ascii="Times New Roman" w:cs="Times New Roman" w:hAnsi="Times New Roman"/>
          <w:sz w:val="28"/>
          <w:szCs w:val="28"/>
        </w:rPr>
        <w:t>. Кейс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1F7">
      <w:pPr>
        <w:spacing w:after="0" w:line="360" w:lineRule="auto"/>
        <w:jc w:val="both"/>
        <w:rPr>
          <w:rFonts w:ascii="Times New Roman" w:cs="Times New Roman" w:eastAsia="Times New Roman" w:hAnsi="Times New Roman"/>
          <w:i/>
          <w:iCs/>
          <w:sz w:val="28"/>
          <w:szCs w:val="28"/>
          <w:lang w:eastAsia="ru-RU"/>
        </w:rPr>
      </w:pPr>
    </w:p>
    <w:sectPr>
      <w:footerReference w:type="default" r:id="rId18"/>
      <w:footerReference w:type="first" r:id="rId19"/>
      <w:pgSz w:w="11906" w:h="16838"/>
      <w:pgMar w:top="1134" w:right="849" w:bottom="1134" w:left="1418" w:header="624" w:footer="17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5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6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DejaVu Sans">
    <w:altName w:val="Times New Roman"/>
    <w:panose1 w:val="020b0603030804020204"/>
    <w:charset w:val="cc"/>
    <w:family w:val="swiss"/>
    <w:pitch w:val="variable"/>
    <w:sig w:usb0="00000000" w:usb1="00000000" w:usb2="0a246029" w:usb3="00000000" w:csb0="000001ff" w:csb1="00000000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F8">
    <w:pPr>
      <w:pStyle w:val="Footer"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>18</w:t>
    </w:r>
    <w:r>
      <w:fldChar w:fldCharType="end"/>
    </w:r>
  </w:p>
  <w:p w14:paraId="000001F9">
    <w:pPr>
      <w:pStyle w:val="Footer"/>
      <w:rPr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FA">
    <w:pPr>
      <w:pStyle w:val="Footer"/>
      <w:jc w:val="right"/>
      <w:rPr/>
    </w:pPr>
  </w:p>
  <w:p w14:paraId="000001FB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  <w:footnote w:id="2">
    <w:p w14:paraId="00000003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jc w:val="both"/>
        <w:rPr>
          <w:rFonts w:ascii="Times New Roman" w:cs="Times New Roman" w:eastAsia="Times New Roman" w:hAnsi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cs="Times New Roman" w:eastAsia="Times New Roman" w:hAnsi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3">
    <w:p w14:paraId="0000000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pacing w:after="0" w:line="240" w:lineRule="auto"/>
        <w:rPr>
          <w:rFonts w:ascii="Times New Roman" w:cs="Times New Roman" w:eastAsia="Times New Roman" w:hAnsi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cs="Times New Roman" w:eastAsia="Times New Roman" w:hAnsi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multilevel"/>
    <w:lvl w:ilvl="0" w:tentative="0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0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off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decimal"/>
      <w:isLgl w:val="on"/>
      <w:lvlText w:val="%1.%2."/>
      <w:lvlJc w:val="left"/>
      <w:pPr>
        <w:ind w:left="855" w:hanging="495"/>
      </w:pPr>
      <w:rPr>
        <w:rFonts w:hint="default"/>
      </w:rPr>
    </w:lvl>
    <w:lvl w:ilvl="2" w:tentative="0">
      <w:start w:val="2"/>
      <w:numFmt w:val="decimal"/>
      <w:isLgl w:val="on"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 w:val="on"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."/>
      <w:lvlJc w:val="left"/>
      <w:pPr>
        <w:ind w:left="1440" w:hanging="1080"/>
      </w:pPr>
      <w:rPr>
        <w:rFonts w:hint="default"/>
      </w:rPr>
    </w:lvl>
    <w:lvl w:ilvl="7" w:tentative="0">
      <w:start w:val="1"/>
      <w:numFmt w:val="decimal"/>
      <w:isLgl w:val="on"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multiLevelType w:val="multilevel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multiLevelType w:val="multilevel"/>
    <w:lvl w:ilvl="0" w:tentative="0">
      <w:start w:val="2"/>
      <w:numFmt w:val="decimal"/>
      <w:lvlText w:val="%1"/>
      <w:lvlJc w:val="left"/>
      <w:pPr>
        <w:ind w:left="700" w:hanging="700"/>
      </w:pPr>
      <w:rPr>
        <w:rFonts w:hint="default"/>
        <w:b w:val="off"/>
        <w:i/>
      </w:rPr>
    </w:lvl>
    <w:lvl w:ilvl="1" w:tentative="0">
      <w:start w:val="10"/>
      <w:numFmt w:val="decimal"/>
      <w:lvlText w:val="%1.%2"/>
      <w:lvlJc w:val="left"/>
      <w:pPr>
        <w:ind w:left="700" w:hanging="700"/>
      </w:pPr>
      <w:rPr>
        <w:rFonts w:hint="default"/>
        <w:b w:val="off"/>
        <w:i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 w:val="off"/>
        <w:i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off"/>
        <w:i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off"/>
        <w:i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off"/>
        <w:i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off"/>
        <w:i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off"/>
        <w:i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off"/>
        <w:i/>
      </w:rPr>
    </w:lvl>
  </w:abstractNum>
  <w:abstractNum w:abstractNumId="14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multiLevelType w:val="hybridMultilevel"/>
    <w:lvl w:ilvl="0" w:tentative="0">
      <w:start w:val="1"/>
      <w:numFmt w:val="bullet"/>
      <w:lvlText w:val="‒"/>
      <w:lvlJc w:val="left"/>
      <w:pPr>
        <w:ind w:left="1287" w:hanging="360"/>
      </w:pPr>
      <w:rPr>
        <w:rFonts w:ascii="Times New Roman" w:cs="Times New Roman" w:hAnsi="Times New Roman" w:hint="default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multiLevelType w:val="multilevel"/>
    <w:lvl w:ilvl="0" w:tentative="0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multiLevelType w:val="multilevel"/>
    <w:lvl w:ilvl="0" w:tentative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multiLevelType w:val="multilevel"/>
    <w:lvl w:ilvl="0" w:tentative="0">
      <w:start w:val="1"/>
      <w:numFmt w:val="decimal"/>
      <w:lvlText w:val="%1."/>
      <w:lvlJc w:val="left"/>
      <w:pPr>
        <w:ind w:left="928" w:hanging="360"/>
      </w:pPr>
      <w:rPr>
        <w:b/>
        <w:i w:val="off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02" w:hanging="360"/>
      </w:pPr>
      <w:rPr>
        <w:rFonts w:ascii="Times New Roman" w:cs="Times New Roman" w:eastAsia="Times New Roman" w:hAnsi="Times New Roman"/>
        <w:b/>
        <w:i/>
        <w:color w:val="000000"/>
        <w:sz w:val="28"/>
        <w:szCs w:val="28"/>
      </w:rPr>
    </w:lvl>
    <w:lvl w:ilvl="2" w:tentative="0">
      <w:start w:val="1"/>
      <w:numFmt w:val="bullet"/>
      <w:lvlText w:val="●"/>
      <w:lvlJc w:val="left"/>
      <w:pPr>
        <w:ind w:left="1800" w:hanging="72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decimal"/>
      <w:lvlText w:val="%1.%2.●.%4."/>
      <w:lvlJc w:val="left"/>
      <w:pPr>
        <w:ind w:left="2160" w:hanging="720"/>
      </w:pPr>
    </w:lvl>
    <w:lvl w:ilvl="4" w:tentative="0">
      <w:start w:val="1"/>
      <w:numFmt w:val="decimal"/>
      <w:lvlText w:val="%1.%2.●.%4.%5."/>
      <w:lvlJc w:val="left"/>
      <w:pPr>
        <w:ind w:left="2880" w:hanging="1080"/>
      </w:pPr>
    </w:lvl>
    <w:lvl w:ilvl="5" w:tentative="0">
      <w:start w:val="1"/>
      <w:numFmt w:val="decimal"/>
      <w:lvlText w:val="%1.%2.●.%4.%5.%6."/>
      <w:lvlJc w:val="left"/>
      <w:pPr>
        <w:ind w:left="3240" w:hanging="1080"/>
      </w:pPr>
    </w:lvl>
    <w:lvl w:ilvl="6" w:tentative="0">
      <w:start w:val="1"/>
      <w:numFmt w:val="decimal"/>
      <w:lvlText w:val="%1.%2.●.%4.%5.%6.%7."/>
      <w:lvlJc w:val="left"/>
      <w:pPr>
        <w:ind w:left="3960" w:hanging="1440"/>
      </w:pPr>
    </w:lvl>
    <w:lvl w:ilvl="7" w:tentative="0">
      <w:start w:val="1"/>
      <w:numFmt w:val="decimal"/>
      <w:lvlText w:val="%1.%2.●.%4.%5.%6.%7.%8."/>
      <w:lvlJc w:val="left"/>
      <w:pPr>
        <w:ind w:left="4320" w:hanging="1440"/>
      </w:pPr>
    </w:lvl>
    <w:lvl w:ilvl="8" w:tentative="0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multiLevelType w:val="multilevel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multilevel"/>
    <w:lvl w:ilvl="0" w:tentative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multiLevelType w:val="multilevel"/>
    <w:lvl w:ilvl="0" w:tentative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 w:tentative="0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 w:tentative="0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multiLevelType w:val="multilevel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multiLevelType w:val="multilevel"/>
    <w:lvl w:ilvl="0" w:tentative="0">
      <w:start w:val="1"/>
      <w:numFmt w:val="bullet"/>
      <w:pStyle w:val="цветнойтекст"/>
      <w:lvlText w:val=""/>
      <w:lvlJc w:val="left"/>
      <w:pPr>
        <w:tabs>
          <w:tab w:val="num" w:pos="720"/>
        </w:tabs>
        <w:ind w:left="720" w:hanging="360"/>
      </w:pPr>
      <w:rPr>
        <w:rFonts w:ascii="Symbol" w:cs="Times New Roman" w:eastAsia="Times New Roman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multiLevelType w:val="multilevel"/>
    <w:lvl w:ilvl="0" w:tentative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multiLevelType w:val="multilevel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multiLevelType w:val="multilevel"/>
    <w:lvl w:ilvl="0" w:tentative="0">
      <w:start w:val="1"/>
      <w:numFmt w:val="bullet"/>
      <w:pStyle w:val="!Списоксточками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multiLevelType w:val="multilevel"/>
    <w:lvl w:ilvl="0" w:tentative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21"/>
  </w:num>
  <w:num w:numId="2">
    <w:abstractNumId w:val="41"/>
  </w:num>
  <w:num w:numId="3">
    <w:abstractNumId w:val="34"/>
  </w:num>
  <w:num w:numId="4">
    <w:abstractNumId w:val="9"/>
  </w:num>
  <w:num w:numId="5">
    <w:abstractNumId w:val="4"/>
  </w:num>
  <w:num w:numId="6">
    <w:abstractNumId w:val="27"/>
  </w:num>
  <w:num w:numId="7">
    <w:abstractNumId w:val="36"/>
  </w:num>
  <w:num w:numId="8">
    <w:abstractNumId w:val="1"/>
  </w:num>
  <w:num w:numId="9">
    <w:abstractNumId w:val="11"/>
  </w:num>
  <w:num w:numId="10">
    <w:abstractNumId w:val="19"/>
  </w:num>
  <w:num w:numId="11">
    <w:abstractNumId w:val="2"/>
  </w:num>
  <w:num w:numId="12">
    <w:abstractNumId w:val="33"/>
  </w:num>
  <w:num w:numId="13">
    <w:abstractNumId w:val="26"/>
  </w:num>
  <w:num w:numId="14">
    <w:abstractNumId w:val="40"/>
  </w:num>
  <w:num w:numId="15">
    <w:abstractNumId w:val="10"/>
  </w:num>
  <w:num w:numId="16">
    <w:abstractNumId w:val="24"/>
  </w:num>
  <w:num w:numId="17">
    <w:abstractNumId w:val="5"/>
  </w:num>
  <w:num w:numId="18">
    <w:abstractNumId w:val="3"/>
  </w:num>
  <w:num w:numId="19">
    <w:abstractNumId w:val="18"/>
  </w:num>
  <w:num w:numId="20">
    <w:abstractNumId w:val="23"/>
  </w:num>
  <w:num w:numId="21">
    <w:abstractNumId w:val="13"/>
  </w:num>
  <w:num w:numId="22">
    <w:abstractNumId w:val="29"/>
  </w:num>
  <w:num w:numId="23">
    <w:abstractNumId w:val="22"/>
  </w:num>
  <w:num w:numId="24">
    <w:abstractNumId w:val="39"/>
  </w:num>
  <w:num w:numId="25">
    <w:abstractNumId w:val="20"/>
  </w:num>
  <w:num w:numId="26">
    <w:abstractNumId w:val="38"/>
  </w:num>
  <w:num w:numId="27">
    <w:abstractNumId w:val="32"/>
  </w:num>
  <w:num w:numId="28">
    <w:abstractNumId w:val="14"/>
  </w:num>
  <w:num w:numId="29">
    <w:abstractNumId w:val="42"/>
  </w:num>
  <w:num w:numId="30">
    <w:abstractNumId w:val="16"/>
  </w:num>
  <w:num w:numId="31">
    <w:abstractNumId w:val="6"/>
  </w:num>
  <w:num w:numId="32">
    <w:abstractNumId w:val="30"/>
  </w:num>
  <w:num w:numId="33">
    <w:abstractNumId w:val="7"/>
  </w:num>
  <w:num w:numId="34">
    <w:abstractNumId w:val="12"/>
  </w:num>
  <w:num w:numId="35">
    <w:abstractNumId w:val="17"/>
  </w:num>
  <w:num w:numId="36">
    <w:abstractNumId w:val="25"/>
  </w:num>
  <w:num w:numId="37">
    <w:abstractNumId w:val="35"/>
  </w:num>
  <w:num w:numId="38">
    <w:abstractNumId w:val="0"/>
  </w:num>
  <w:num w:numId="39">
    <w:abstractNumId w:val="37"/>
  </w:num>
  <w:num w:numId="40">
    <w:abstractNumId w:val="28"/>
  </w:num>
  <w:num w:numId="41">
    <w:abstractNumId w:val="15"/>
  </w:num>
  <w:num w:numId="42">
    <w:abstractNumId w:val="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1B3"/>
    <w:rsid w:val="000832A4"/>
    <w:rsid w:val="000A3F53"/>
    <w:rsid w:val="000E735B"/>
    <w:rsid w:val="000F63E1"/>
    <w:rsid w:val="00151311"/>
    <w:rsid w:val="001972A7"/>
    <w:rsid w:val="001F1FE0"/>
    <w:rsid w:val="00207D2C"/>
    <w:rsid w:val="00243930"/>
    <w:rsid w:val="00266C4D"/>
    <w:rsid w:val="002D697A"/>
    <w:rsid w:val="0037494D"/>
    <w:rsid w:val="003B0B1D"/>
    <w:rsid w:val="004210EF"/>
    <w:rsid w:val="004A0C31"/>
    <w:rsid w:val="00520BF0"/>
    <w:rsid w:val="005857EC"/>
    <w:rsid w:val="005968DC"/>
    <w:rsid w:val="005F29A6"/>
    <w:rsid w:val="006F20B7"/>
    <w:rsid w:val="00700F8C"/>
    <w:rsid w:val="007825E9"/>
    <w:rsid w:val="00785972"/>
    <w:rsid w:val="007B5B90"/>
    <w:rsid w:val="007F1C2B"/>
    <w:rsid w:val="008E533A"/>
    <w:rsid w:val="008F3239"/>
    <w:rsid w:val="00920A5E"/>
    <w:rsid w:val="009A0B68"/>
    <w:rsid w:val="00A124C5"/>
    <w:rsid w:val="00A23F1A"/>
    <w:rsid w:val="00A429E1"/>
    <w:rsid w:val="00A7753B"/>
    <w:rsid w:val="00A9726C"/>
    <w:rsid w:val="00AC3D00"/>
    <w:rsid w:val="00AD2440"/>
    <w:rsid w:val="00B02A52"/>
    <w:rsid w:val="00B231FB"/>
    <w:rsid w:val="00BC2EBD"/>
    <w:rsid w:val="00BE0537"/>
    <w:rsid w:val="00BF272C"/>
    <w:rsid w:val="00C274FC"/>
    <w:rsid w:val="00C531B3"/>
    <w:rsid w:val="00CB4C60"/>
    <w:rsid w:val="00D56F42"/>
    <w:rsid w:val="00D73E9F"/>
    <w:rsid w:val="00DF0843"/>
    <w:rsid w:val="00E10E46"/>
    <w:rsid w:val="00E14BE7"/>
    <w:rsid w:val="00E473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BC949"/>
  <w15:docId w15:val="{73A91340-E18C-4674-9756-D114691F9C3B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9"/>
    <w:qFormat w:val="on"/>
    <w:pPr>
      <w:keepNext w:val="on"/>
      <w:spacing w:before="240" w:after="120" w:line="360" w:lineRule="auto"/>
    </w:pPr>
    <w:rPr>
      <w:rFonts w:ascii="Arial" w:cs="Times New Roman" w:eastAsia="Times New Roman" w:hAnsi="Arial"/>
      <w:b/>
      <w:bCs/>
      <w:caps/>
      <w:color w:val="2c8de6"/>
      <w:sz w:val="36"/>
      <w:szCs w:val="24"/>
      <w:lang w:val="en-GB"/>
    </w:rPr>
  </w:style>
  <w:style w:type="paragraph" w:styleId="Heading2">
    <w:name w:val="Heading 2"/>
    <w:basedOn w:val="Normal"/>
    <w:next w:val="Normal"/>
    <w:link w:val="Заголовок2Знак"/>
    <w:uiPriority w:val="99"/>
    <w:qFormat w:val="on"/>
    <w:pPr>
      <w:keepNext w:val="on"/>
      <w:spacing w:before="240" w:after="120" w:line="360" w:lineRule="auto"/>
    </w:pPr>
    <w:rPr>
      <w:rFonts w:ascii="Arial" w:cs="Times New Roman" w:eastAsia="Times New Roman" w:hAnsi="Arial"/>
      <w:b/>
      <w:sz w:val="28"/>
      <w:szCs w:val="24"/>
      <w:lang w:val="en-GB"/>
    </w:rPr>
  </w:style>
  <w:style w:type="paragraph" w:styleId="Heading3">
    <w:name w:val="Heading 3"/>
    <w:basedOn w:val="Normal"/>
    <w:next w:val="Normal"/>
    <w:link w:val="Заголовок3Знак"/>
    <w:uiPriority w:val="99"/>
    <w:qFormat w:val="on"/>
    <w:pPr>
      <w:keepNext w:val="on"/>
      <w:spacing w:before="120" w:after="0" w:line="360" w:lineRule="auto"/>
    </w:pPr>
    <w:rPr>
      <w:rFonts w:ascii="Arial" w:cs="Arial" w:eastAsia="Times New Roman" w:hAnsi="Arial"/>
      <w:b/>
      <w:bCs/>
      <w:szCs w:val="26"/>
      <w:lang w:val="en-GB"/>
    </w:rPr>
  </w:style>
  <w:style w:type="paragraph" w:styleId="Heading4">
    <w:name w:val="Heading 4"/>
    <w:basedOn w:val="Normal"/>
    <w:next w:val="Normal"/>
    <w:link w:val="Заголовок4Знак"/>
    <w:uiPriority w:val="99"/>
    <w:qFormat w:val="on"/>
    <w:pPr>
      <w:keepNext w:val="on"/>
      <w:widowControl w:val="off"/>
      <w:spacing w:after="0" w:line="360" w:lineRule="auto"/>
    </w:pPr>
    <w:rPr>
      <w:rFonts w:ascii="Arial" w:cs="Times New Roman" w:eastAsia="Times New Roman" w:hAnsi="Arial"/>
      <w:b/>
      <w:sz w:val="28"/>
      <w:szCs w:val="20"/>
      <w:lang w:val="en-AU"/>
    </w:rPr>
  </w:style>
  <w:style w:type="paragraph" w:styleId="Heading5">
    <w:name w:val="Heading 5"/>
    <w:basedOn w:val="Normal"/>
    <w:next w:val="Normal"/>
    <w:link w:val="Заголовок5Знак"/>
    <w:uiPriority w:val="99"/>
    <w:qFormat w:val="on"/>
    <w:pPr>
      <w:keepNext w:val="on"/>
      <w:widowControl w:val="off"/>
      <w:spacing w:after="0" w:line="360" w:lineRule="auto"/>
      <w:jc w:val="both"/>
    </w:pPr>
    <w:rPr>
      <w:rFonts w:ascii="Arial" w:cs="Times New Roman" w:eastAsia="Times New Roman" w:hAnsi="Arial"/>
      <w:b/>
      <w:bCs/>
      <w:sz w:val="28"/>
      <w:szCs w:val="24"/>
      <w:lang w:val="en-GB"/>
    </w:rPr>
  </w:style>
  <w:style w:type="paragraph" w:styleId="Heading6">
    <w:name w:val="Heading 6"/>
    <w:basedOn w:val="Normal"/>
    <w:next w:val="Normal"/>
    <w:link w:val="Заголовок6Знак"/>
    <w:uiPriority w:val="99"/>
    <w:qFormat w:val="on"/>
    <w:pPr>
      <w:keepNext w:val="on"/>
      <w:widowControl w:val="off"/>
      <w:spacing w:after="58" w:line="360" w:lineRule="auto"/>
    </w:pPr>
    <w:rPr>
      <w:rFonts w:ascii="Arial" w:cs="Times New Roman" w:eastAsia="Times New Roman" w:hAnsi="Arial"/>
      <w:b/>
      <w:sz w:val="24"/>
      <w:szCs w:val="20"/>
      <w:lang w:val="en-AU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widowControl w:val="off"/>
      <w:spacing w:after="0" w:line="360" w:lineRule="auto"/>
      <w:jc w:val="both"/>
    </w:pPr>
    <w:rPr>
      <w:rFonts w:ascii="Arial" w:cs="Times New Roman" w:eastAsia="Times New Roman" w:hAnsi="Arial"/>
      <w:spacing w:val="-3"/>
      <w:sz w:val="28"/>
      <w:szCs w:val="20"/>
      <w:lang w:val="en-US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keepNext w:val="on"/>
      <w:widowControl w:val="off"/>
      <w:spacing w:after="0" w:line="360" w:lineRule="auto"/>
      <w:jc w:val="both"/>
    </w:pPr>
    <w:rPr>
      <w:rFonts w:ascii="Arial" w:cs="Times New Roman" w:eastAsia="Times New Roman" w:hAnsi="Arial"/>
      <w:b/>
      <w:bCs/>
      <w:sz w:val="24"/>
      <w:szCs w:val="24"/>
      <w:lang w:val="en-GB"/>
    </w:rPr>
  </w:style>
  <w:style w:type="paragraph" w:styleId="Heading9">
    <w:name w:val="Heading 9"/>
    <w:basedOn w:val="Normal"/>
    <w:next w:val="Normal"/>
    <w:link w:val="Заголовок9Знак"/>
    <w:uiPriority w:val="99"/>
    <w:qFormat w:val="on"/>
    <w:pPr>
      <w:keepNext w:val="on"/>
      <w:widowControl w:val="off"/>
      <w:spacing w:after="0" w:line="360" w:lineRule="auto"/>
      <w:ind w:left="360" w:firstLine="360"/>
      <w:jc w:val="both"/>
    </w:pPr>
    <w:rPr>
      <w:rFonts w:ascii="Arial" w:cs="Times New Roman" w:eastAsia="Times New Roman" w:hAnsi="Arial"/>
      <w:sz w:val="24"/>
      <w:szCs w:val="20"/>
      <w:u w:val="single"/>
      <w:lang w:val="en-A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customStyle="1" w:styleId="TableGridLight">
    <w:name w:val="Table Grid Light"/>
    <w:basedOn w:val="NormalTable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NormalTable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NormalTable"/>
    <w:uiPriority w:val="59"/>
    <w:pPr>
      <w:spacing w:after="0" w:line="240" w:lineRule="auto"/>
    </w:pPr>
    <w:tblPr>
      <w:tblBorders>
        <w:top w:val="single" w:color="000000" w:themeColor="text1" w:sz="4" w:space="0"/>
        <w:left w:val="none" w:sz="4" w:space="0"/>
        <w:bottom w:val="single" w:color="000000" w:themeColor="text1" w:sz="4" w:space="0"/>
        <w:right w:val="none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/>
          <w:left w:val="none" w:sz="4" w:space="0"/>
          <w:bottom w:val="single" w:color="404040" w:sz="4" w:space="0"/>
          <w:right w:val="none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/>
          <w:bottom w:val="single" w:color="404040" w:sz="4" w:space="0"/>
          <w:right w:val="none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customStyle="1" w:styleId="GridTable1Light-Accent1">
    <w:name w:val="Grid Table 1 Light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GridTable1Light-Accent2">
    <w:name w:val="Grid Table 1 Light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8caaa" w:themeColor="accent2" w:themeTint="67" w:sz="4" w:space="0"/>
        <w:left w:val="single" w:color="f8caaa" w:themeColor="accent2" w:themeTint="67" w:sz="4" w:space="0"/>
        <w:bottom w:val="single" w:color="f8caaa" w:themeColor="accent2" w:themeTint="67" w:sz="4" w:space="0"/>
        <w:right w:val="single" w:color="f8caaa" w:themeColor="accent2" w:themeTint="67" w:sz="4" w:space="0"/>
        <w:insideH w:val="single" w:color="f8caaa" w:themeColor="accent2" w:themeTint="67" w:sz="4" w:space="0"/>
        <w:insideV w:val="single" w:color="f8caaa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aaa" w:themeColor="accent2" w:themeTint="67" w:sz="4" w:space="0"/>
          <w:left w:val="single" w:color="f8caaa" w:themeColor="accent2" w:themeTint="67" w:sz="4" w:space="0"/>
          <w:bottom w:val="single" w:color="f8caaa" w:themeColor="accent2" w:themeTint="67" w:sz="4" w:space="0"/>
          <w:right w:val="single" w:color="f8caaa" w:themeColor="accent2" w:themeTint="67" w:sz="4" w:space="0"/>
        </w:tcBorders>
      </w:tcPr>
    </w:tblStylePr>
  </w:style>
  <w:style w:type="table" w:customStyle="1" w:styleId="GridTable1Light-Accent3">
    <w:name w:val="Grid Table 1 Light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GridTable1Light-Accent4">
    <w:name w:val="Grid Table 1 Light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697" w:themeColor="accent4" w:themeTint="67" w:sz="4" w:space="0"/>
        <w:left w:val="single" w:color="ffe697" w:themeColor="accent4" w:themeTint="67" w:sz="4" w:space="0"/>
        <w:bottom w:val="single" w:color="ffe697" w:themeColor="accent4" w:themeTint="67" w:sz="4" w:space="0"/>
        <w:right w:val="single" w:color="ffe697" w:themeColor="accent4" w:themeTint="67" w:sz="4" w:space="0"/>
        <w:insideH w:val="single" w:color="ffe697" w:themeColor="accent4" w:themeTint="67" w:sz="4" w:space="0"/>
        <w:insideV w:val="single" w:color="ffe6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b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697" w:themeColor="accent4" w:themeTint="67" w:sz="4" w:space="0"/>
          <w:left w:val="single" w:color="ffe697" w:themeColor="accent4" w:themeTint="67" w:sz="4" w:space="0"/>
          <w:bottom w:val="single" w:color="ffe697" w:themeColor="accent4" w:themeTint="67" w:sz="4" w:space="0"/>
          <w:right w:val="single" w:color="ffe697" w:themeColor="accent4" w:themeTint="67" w:sz="4" w:space="0"/>
        </w:tcBorders>
      </w:tcPr>
    </w:tblStylePr>
  </w:style>
  <w:style w:type="table" w:customStyle="1" w:styleId="GridTable1Light-Accent5">
    <w:name w:val="Grid Table 1 Light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GridTable1Light-Accent6">
    <w:name w:val="Grid Table 1 Light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5e0b2" w:themeColor="accent6" w:themeTint="67" w:sz="4" w:space="0"/>
        <w:left w:val="single" w:color="c5e0b2" w:themeColor="accent6" w:themeTint="67" w:sz="4" w:space="0"/>
        <w:bottom w:val="single" w:color="c5e0b2" w:themeColor="accent6" w:themeTint="67" w:sz="4" w:space="0"/>
        <w:right w:val="single" w:color="c5e0b2" w:themeColor="accent6" w:themeTint="67" w:sz="4" w:space="0"/>
        <w:insideH w:val="single" w:color="c5e0b2" w:themeColor="accent6" w:themeTint="67" w:sz="4" w:space="0"/>
        <w:insideV w:val="single" w:color="c5e0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bd2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5e0b2" w:themeColor="accent6" w:themeTint="67" w:sz="4" w:space="0"/>
          <w:left w:val="single" w:color="c5e0b2" w:themeColor="accent6" w:themeTint="67" w:sz="4" w:space="0"/>
          <w:bottom w:val="single" w:color="c5e0b2" w:themeColor="accent6" w:themeTint="67" w:sz="4" w:space="0"/>
          <w:right w:val="single" w:color="c5e0b2" w:themeColor="accent6" w:themeTint="67" w:sz="4" w:space="0"/>
        </w:tcBorders>
      </w:tcPr>
    </w:tblStylePr>
  </w:style>
  <w:style w:type="table" w:styleId="GridTable2">
    <w:name w:val="Grid Table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6a6a6a" w:themeColor="text1" w:themeTint="95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68a3d8" w:themeColor="accent1" w:themeTint="ea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</w:style>
  <w:style w:type="table" w:customStyle="1" w:styleId="GridTable2-Accent2">
    <w:name w:val="Grid Table 2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4b184" w:themeColor="accent2" w:themeTint="97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</w:style>
  <w:style w:type="table" w:customStyle="1" w:styleId="GridTable2-Accent3">
    <w:name w:val="Grid Table 2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a5a5a5" w:themeColor="accent3" w:themeTint="fe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fda63" w:themeColor="accent4" w:themeTint="9a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</w:style>
  <w:style w:type="table" w:customStyle="1" w:styleId="GridTable2-Accent5">
    <w:name w:val="Grid Table 2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4472c4" w:themeColor="accent5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</w:style>
  <w:style w:type="table" w:customStyle="1" w:styleId="GridTable2-Accent6">
    <w:name w:val="Grid Table 2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70ad47" w:themeColor="accent6" w:sz="12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</w:style>
  <w:style w:type="table" w:styleId="GridTable3">
    <w:name w:val="Grid Table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</w:style>
  <w:style w:type="table" w:customStyle="1" w:styleId="GridTable3-Accent2">
    <w:name w:val="Grid Table 3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</w:style>
  <w:style w:type="table" w:customStyle="1" w:styleId="GridTable3-Accent3">
    <w:name w:val="Grid Table 3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</w:style>
  <w:style w:type="table" w:customStyle="1" w:styleId="GridTable3-Accent5">
    <w:name w:val="Grid Table 3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</w:style>
  <w:style w:type="table" w:customStyle="1" w:styleId="GridTable3-Accent6">
    <w:name w:val="Grid Table 3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</w:style>
  <w:style w:type="table" w:styleId="GridTable4">
    <w:name w:val="Grid Table 4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a1c6e7" w:themeColor="accent1" w:themeTint="90" w:sz="4" w:space="0"/>
        <w:left w:val="single" w:color="a1c6e7" w:themeColor="accent1" w:themeTint="90" w:sz="4" w:space="0"/>
        <w:bottom w:val="single" w:color="a1c6e7" w:themeColor="accent1" w:themeTint="90" w:sz="4" w:space="0"/>
        <w:right w:val="single" w:color="a1c6e7" w:themeColor="accent1" w:themeTint="90" w:sz="4" w:space="0"/>
        <w:insideH w:val="single" w:color="a1c6e7" w:themeColor="accent1" w:themeTint="90" w:sz="4" w:space="0"/>
        <w:insideV w:val="single" w:color="a1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f5b589" w:themeColor="accent2" w:themeTint="90" w:sz="4" w:space="0"/>
        <w:left w:val="single" w:color="f5b589" w:themeColor="accent2" w:themeTint="90" w:sz="4" w:space="0"/>
        <w:bottom w:val="single" w:color="f5b589" w:themeColor="accent2" w:themeTint="90" w:sz="4" w:space="0"/>
        <w:right w:val="single" w:color="f5b589" w:themeColor="accent2" w:themeTint="90" w:sz="4" w:space="0"/>
        <w:insideH w:val="single" w:color="f5b589" w:themeColor="accent2" w:themeTint="90" w:sz="4" w:space="0"/>
        <w:insideV w:val="single" w:color="f5b5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</w:style>
  <w:style w:type="table" w:customStyle="1" w:styleId="GridTable4-Accent3">
    <w:name w:val="Grid Table 4 - Accent 3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c6d" w:themeColor="accent4" w:themeTint="90" w:sz="4" w:space="0"/>
        <w:left w:val="single" w:color="ffdc6d" w:themeColor="accent4" w:themeTint="90" w:sz="4" w:space="0"/>
        <w:bottom w:val="single" w:color="ffdc6d" w:themeColor="accent4" w:themeTint="90" w:sz="4" w:space="0"/>
        <w:right w:val="single" w:color="ffdc6d" w:themeColor="accent4" w:themeTint="90" w:sz="4" w:space="0"/>
        <w:insideH w:val="single" w:color="ffdc6d" w:themeColor="accent4" w:themeTint="90" w:sz="4" w:space="0"/>
        <w:insideV w:val="single" w:color="ffdc6d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a63" w:themeColor="accent4" w:themeTint="9a" w:sz="4" w:space="0"/>
          <w:left w:val="single" w:color="ffda63" w:themeColor="accent4" w:themeTint="9a" w:sz="4" w:space="0"/>
          <w:bottom w:val="single" w:color="ffda63" w:themeColor="accent4" w:themeTint="9a" w:sz="4" w:space="0"/>
          <w:right w:val="single" w:color="ffda63" w:themeColor="accent4" w:themeTint="9a" w:sz="4" w:space="0"/>
        </w:tcBorders>
        <w:shd w:val="clear" w:color="ffda63" w:themeColor="accent4" w:themeTint="9a" w:fill="ffda6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a6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</w:style>
  <w:style w:type="table" w:customStyle="1" w:styleId="GridTable4-Accent5">
    <w:name w:val="Grid Table 4 - Accent 5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aede" w:themeColor="accent5" w:themeTint="90" w:sz="4" w:space="0"/>
        <w:left w:val="single" w:color="94aede" w:themeColor="accent5" w:themeTint="90" w:sz="4" w:space="0"/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  <w:insideV w:val="single" w:color="94ae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</w:style>
  <w:style w:type="table" w:customStyle="1" w:styleId="GridTable4-Accent6">
    <w:name w:val="Grid Table 4 - Accent 6"/>
    <w:basedOn w:val="NormalTable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3" w:themeColor="accent6" w:themeTint="90" w:sz="4" w:space="0"/>
        <w:left w:val="single" w:color="add393" w:themeColor="accent6" w:themeTint="90" w:sz="4" w:space="0"/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  <w:insideV w:val="single" w:color="add393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</w:style>
  <w:style w:type="table" w:styleId="GridTable5Dark">
    <w:name w:val="Grid Table 5 Dark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ceaf6" w:themeColor="accent1" w:themeTint="34" w:fill="dc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6d7" w:themeColor="accent2" w:themeTint="32" w:fill="fbe6d7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7c39f" w:themeColor="accent2" w:themeTint="75" w:fill="f7c39f" w:themeFill="accent2" w:themeFillTint="75"/>
      </w:tcPr>
    </w:tblStylePr>
    <w:tblStylePr w:type="band1Horz">
      <w:tblPr/>
      <w:tcPr>
        <w:shd w:val="clear" w:color="f7c39f" w:themeColor="accent2" w:themeTint="75" w:fill="f7c39f" w:themeFill="accent2" w:themeFillTint="75"/>
      </w:tcPr>
    </w:tblStylePr>
  </w:style>
  <w:style w:type="table" w:customStyle="1" w:styleId="GridTable5Dark-Accent3">
    <w:name w:val="Grid Table 5 Dark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9" w:themeColor="accent4" w:themeTint="34" w:fill="fff2c9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389" w:themeColor="accent4" w:themeTint="75" w:fill="ffe389" w:themeFill="accent4" w:themeFillTint="75"/>
      </w:tcPr>
    </w:tblStylePr>
    <w:tblStylePr w:type="band1Horz">
      <w:tblPr/>
      <w:tcPr>
        <w:shd w:val="clear" w:color="ffe389" w:themeColor="accent4" w:themeTint="75" w:fill="ffe389" w:themeFill="accent4" w:themeFillTint="75"/>
      </w:tcPr>
    </w:tblStylePr>
  </w:style>
  <w:style w:type="table" w:customStyle="1" w:styleId="GridTable5Dark-Accent5">
    <w:name w:val="Grid Table 5 Dark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7e1f3" w:themeColor="accent5" w:themeTint="34" w:fill="d7e1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8bde4" w:themeColor="accent5" w:themeTint="75" w:fill="a8bde4" w:themeFill="accent5" w:themeFillTint="75"/>
      </w:tcPr>
    </w:tblStylePr>
    <w:tblStylePr w:type="band1Horz">
      <w:tblPr/>
      <w:tcPr>
        <w:shd w:val="clear" w:color="a8bde4" w:themeColor="accent5" w:themeTint="75" w:fill="a8bde4" w:themeFill="accent5" w:themeFillTint="75"/>
      </w:tcPr>
    </w:tblStylePr>
  </w:style>
  <w:style w:type="table" w:customStyle="1" w:styleId="GridTable5Dark-Accent6">
    <w:name w:val="Grid Table 5 Dark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7" w:themeColor="accent6" w:themeTint="34" w:fill="e1efd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7" w:themeColor="accent6" w:themeTint="75" w:fill="bcdba7" w:themeFill="accent6" w:themeFillTint="75"/>
      </w:tcPr>
    </w:tblStylePr>
    <w:tblStylePr w:type="band1Horz">
      <w:tblPr/>
      <w:tcPr>
        <w:shd w:val="clear" w:color="bcdba7" w:themeColor="accent6" w:themeTint="75" w:fill="bcdba7" w:themeFill="accent6" w:themeFillTint="75"/>
      </w:tcPr>
    </w:tblStylePr>
  </w:style>
  <w:style w:type="table" w:styleId="GridTable6Colorful">
    <w:name w:val="Grid Table 6 Colorful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ceaf6" w:themeColor="accent1" w:themeTint="34" w:fill="dc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a63" w:themeColor="accent4" w:themeTint="9a" w:sz="4" w:space="0"/>
        <w:left w:val="single" w:color="ffda63" w:themeColor="accent4" w:themeTint="9a" w:sz="4" w:space="0"/>
        <w:bottom w:val="single" w:color="ffda63" w:themeColor="accent4" w:themeTint="9a" w:sz="4" w:space="0"/>
        <w:right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blStylePr w:type="firstRow">
      <w:rPr>
        <w:b/>
        <w:color w:val="ffda63" w:themeColor="accent4" w:themeTint="9a"/>
      </w:rPr>
      <w:tblPr/>
      <w:tcPr>
        <w:tcBorders>
          <w:bottom w:val="single" w:color="ffda63" w:themeColor="accent4" w:themeTint="9a" w:sz="12" w:space="0"/>
        </w:tcBorders>
      </w:tcPr>
    </w:tblStylePr>
    <w:tblStylePr w:type="lastRow">
      <w:rPr>
        <w:b/>
        <w:color w:val="ffda63" w:themeColor="accent4" w:themeTint="9a"/>
      </w:rPr>
    </w:tblStylePr>
    <w:tblStylePr w:type="firstCol">
      <w:rPr>
        <w:b/>
        <w:color w:val="ffda63" w:themeColor="accent4" w:themeTint="9a"/>
      </w:rPr>
    </w:tblStylePr>
    <w:tblStylePr w:type="lastCol">
      <w:rPr>
        <w:b/>
        <w:color w:val="ffda63" w:themeColor="accent4" w:themeTint="9a"/>
      </w:rPr>
    </w:tblStylePr>
    <w:tblStylePr w:type="band1Vert"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rPr>
        <w:rFonts w:ascii="Arial" w:hAnsi="Arial"/>
        <w:color w:val="ffda63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2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275" w:themeColor="accent5" w:themeShade="95"/>
      </w:rPr>
    </w:tblStylePr>
    <w:tblStylePr w:type="firstCol">
      <w:rPr>
        <w:b/>
        <w:color w:val="254275" w:themeColor="accent5" w:themeShade="95"/>
      </w:rPr>
    </w:tblStylePr>
    <w:tblStylePr w:type="lastCol">
      <w:rPr>
        <w:b/>
        <w:color w:val="254275" w:themeColor="accent5" w:themeShade="95"/>
      </w:rPr>
    </w:tblStylePr>
    <w:tblStylePr w:type="band1Vert"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2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275" w:themeColor="accent5" w:themeShade="95"/>
      </w:rPr>
    </w:tblStylePr>
    <w:tblStylePr w:type="firstCol">
      <w:rPr>
        <w:b/>
        <w:color w:val="254275" w:themeColor="accent5" w:themeShade="95"/>
      </w:rPr>
    </w:tblStylePr>
    <w:tblStylePr w:type="lastCol">
      <w:rPr>
        <w:b/>
        <w:color w:val="254275" w:themeColor="accent5" w:themeShade="95"/>
      </w:rPr>
    </w:tblStylePr>
    <w:tblStylePr w:type="band1Vert"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</w:style>
  <w:style w:type="table" w:styleId="GridTable7Colorful">
    <w:name w:val="Grid Table 7 Colorful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single" w:color="7f7f7f" w:themeColor="tex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single" w:color="7f7f7f" w:themeColor="text1" w:themeTint="80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one" w:sz="4" w:space="0"/>
          <w:left w:val="none" w:sz="4" w:space="0"/>
          <w:bottom w:val="single" w:color="acccea" w:themeColor="accen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color="acccea" w:themeColor="accen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/>
          <w:left w:val="single" w:color="acccea" w:themeColor="accent1" w:themeTint="80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dceaf6" w:themeColor="accent1" w:themeTint="34" w:fill="dc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single" w:color="f4b184" w:themeColor="accent2" w:themeTint="97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single" w:color="f4b184" w:themeColor="accent2" w:themeTint="97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/>
          <w:left w:val="none" w:sz="4" w:space="0"/>
          <w:bottom w:val="single" w:color="a5a5a5" w:themeColor="accent3" w:themeTint="fe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color="a5a5a5" w:themeColor="accent3" w:themeTint="fe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/>
          <w:left w:val="single" w:color="a5a5a5" w:themeColor="accent3" w:themeTint="fe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a63" w:themeColor="accent4" w:themeTint="9a" w:sz="4" w:space="0"/>
        <w:right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blStylePr w:type="firstRow">
      <w:rPr>
        <w:rFonts w:ascii="Arial" w:hAnsi="Arial"/>
        <w:b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single" w:color="ffda63" w:themeColor="accent4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a63" w:themeColor="accent4" w:themeTint="9a"/>
        <w:sz w:val="22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fda6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single" w:color="ffda63" w:themeColor="accent4" w:themeTint="9a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rPr>
        <w:rFonts w:ascii="Arial" w:hAnsi="Arial"/>
        <w:color w:val="ffda63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  <w:insideV w:val="single" w:color="94aede" w:themeColor="accent5" w:themeTint="90" w:sz="4" w:space="0"/>
      </w:tblBorders>
    </w:tblPr>
    <w:tblStylePr w:type="firstRow">
      <w:rPr>
        <w:rFonts w:ascii="Arial" w:hAnsi="Arial"/>
        <w:b/>
        <w:color w:val="254275" w:themeColor="accent5" w:themeShade="95"/>
        <w:sz w:val="22"/>
      </w:rPr>
      <w:tblPr/>
      <w:tcPr>
        <w:tcBorders>
          <w:top w:val="none" w:sz="4" w:space="0"/>
          <w:left w:val="none" w:sz="4" w:space="0"/>
          <w:bottom w:val="single" w:color="94aede" w:themeColor="accent5" w:themeTint="9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275" w:themeColor="accent5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94ae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blPr/>
      <w:tcPr>
        <w:tcBorders>
          <w:top w:val="none" w:sz="4" w:space="0"/>
          <w:left w:val="single" w:color="94aede" w:themeColor="accent5" w:themeTint="90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  <w:insideV w:val="single" w:color="add393" w:themeColor="accent6" w:themeTint="90" w:sz="4" w:space="0"/>
      </w:tblBorders>
    </w:tblPr>
    <w:tblStylePr w:type="firstRow">
      <w:rPr>
        <w:rFonts w:ascii="Arial" w:hAnsi="Arial"/>
        <w:b/>
        <w:color w:val="416529" w:themeColor="accent6" w:themeShade="95"/>
        <w:sz w:val="22"/>
      </w:rPr>
      <w:tblPr/>
      <w:tcPr>
        <w:tcBorders>
          <w:top w:val="none" w:sz="4" w:space="0"/>
          <w:left w:val="none" w:sz="4" w:space="0"/>
          <w:bottom w:val="single" w:color="add393" w:themeColor="accent6" w:themeTint="9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529" w:themeColor="accent6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dd393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blPr/>
      <w:tcPr>
        <w:tcBorders>
          <w:top w:val="none" w:sz="4" w:space="0"/>
          <w:left w:val="single" w:color="add393" w:themeColor="accent6" w:themeTint="90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16529" w:themeColor="accent6" w:themeShade="95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</w:tblStylePr>
  </w:style>
  <w:style w:type="table" w:styleId="ListTable1Light">
    <w:name w:val="List Table 1 Light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000000" w:themeColor="text1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5b9bd5" w:themeColor="accent1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6e6f4" w:themeColor="accent1" w:themeTint="40" w:fill="d6e6f4" w:themeFill="accent1" w:themeFillTint="40"/>
      </w:tcPr>
    </w:tblStylePr>
    <w:tblStylePr w:type="band1Horz">
      <w:tblPr/>
      <w:tcPr>
        <w:shd w:val="clear" w:color="d6e6f4" w:themeColor="accent1" w:themeTint="40" w:fill="d6e6f4" w:themeFill="accent1" w:themeFillTint="40"/>
      </w:tcPr>
    </w:tblStylePr>
  </w:style>
  <w:style w:type="table" w:customStyle="1" w:styleId="ListTable1Light-Accent2">
    <w:name w:val="List Table 1 Light - Accent 2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ed7d31" w:themeColor="accent2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dca" w:themeColor="accent2" w:themeTint="40" w:fill="faddca" w:themeFill="accent2" w:themeFillTint="40"/>
      </w:tcPr>
    </w:tblStylePr>
    <w:tblStylePr w:type="band1Horz">
      <w:tblPr/>
      <w:tcPr>
        <w:shd w:val="clear" w:color="faddca" w:themeColor="accent2" w:themeTint="40" w:fill="faddca" w:themeFill="accent2" w:themeFillTint="40"/>
      </w:tcPr>
    </w:tblStylePr>
  </w:style>
  <w:style w:type="table" w:customStyle="1" w:styleId="ListTable1Light-Accent3">
    <w:name w:val="List Table 1 Light - Accent 3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a5a5a5" w:themeColor="accent3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fc000" w:themeColor="accent4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d" w:themeColor="accent4" w:themeTint="40" w:fill="ffefbd" w:themeFill="accent4" w:themeFillTint="40"/>
      </w:tcPr>
    </w:tblStylePr>
    <w:tblStylePr w:type="band1Horz">
      <w:tblPr/>
      <w:tcPr>
        <w:shd w:val="clear" w:color="ffefbd" w:themeColor="accent4" w:themeTint="40" w:fill="ffefbd" w:themeFill="accent4" w:themeFillTint="40"/>
      </w:tcPr>
    </w:tblStylePr>
  </w:style>
  <w:style w:type="table" w:customStyle="1" w:styleId="ListTable1Light-Accent5">
    <w:name w:val="List Table 1 Light - Accent 5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4472c4" w:themeColor="accent5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1Horz">
      <w:tblPr/>
      <w:tcPr>
        <w:shd w:val="clear" w:color="d0dbf0" w:themeColor="accent5" w:themeTint="40" w:fill="d0dbf0" w:themeFill="accent5" w:themeFillTint="40"/>
      </w:tcPr>
    </w:tblStylePr>
  </w:style>
  <w:style w:type="table" w:customStyle="1" w:styleId="ListTable1Light-Accent6">
    <w:name w:val="List Table 1 Light - Accent 6"/>
    <w:basedOn w:val="NormalTab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70ad47" w:themeColor="accent6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sz="4" w:space="0"/>
          <w:bottom w:val="single" w:color="6f6f6f" w:themeColor="text1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sz="4" w:space="0"/>
          <w:bottom w:val="single" w:color="6f6f6f" w:themeColor="text1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c6e7" w:themeColor="accent1" w:themeTint="90" w:sz="4" w:space="0"/>
        <w:bottom w:val="single" w:color="a1c6e7" w:themeColor="accent1" w:themeTint="90" w:sz="4" w:space="0"/>
        <w:insideH w:val="single" w:color="a1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1c6e7" w:themeColor="accent1" w:themeTint="90" w:sz="4" w:space="0"/>
          <w:left w:val="none" w:sz="4" w:space="0"/>
          <w:bottom w:val="single" w:color="a1c6e7" w:themeColor="accent1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1c6e7" w:themeColor="accent1" w:themeTint="90" w:sz="4" w:space="0"/>
          <w:left w:val="none" w:sz="4" w:space="0"/>
          <w:bottom w:val="single" w:color="a1c6e7" w:themeColor="accent1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</w:style>
  <w:style w:type="table" w:customStyle="1" w:styleId="ListTable2-Accent2">
    <w:name w:val="List Table 2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5b589" w:themeColor="accent2" w:themeTint="90" w:sz="4" w:space="0"/>
        <w:bottom w:val="single" w:color="f5b589" w:themeColor="accent2" w:themeTint="90" w:sz="4" w:space="0"/>
        <w:insideH w:val="single" w:color="f5b5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5b589" w:themeColor="accent2" w:themeTint="90" w:sz="4" w:space="0"/>
          <w:left w:val="none" w:sz="4" w:space="0"/>
          <w:bottom w:val="single" w:color="f5b589" w:themeColor="accent2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5b589" w:themeColor="accent2" w:themeTint="90" w:sz="4" w:space="0"/>
          <w:left w:val="none" w:sz="4" w:space="0"/>
          <w:bottom w:val="single" w:color="f5b589" w:themeColor="accent2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</w:style>
  <w:style w:type="table" w:customStyle="1" w:styleId="ListTable2-Accent3">
    <w:name w:val="List Table 2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sz="4" w:space="0"/>
          <w:bottom w:val="single" w:color="cccccc" w:themeColor="accent3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sz="4" w:space="0"/>
          <w:bottom w:val="single" w:color="cccccc" w:themeColor="accent3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c6d" w:themeColor="accent4" w:themeTint="90" w:sz="4" w:space="0"/>
        <w:bottom w:val="single" w:color="ffdc6d" w:themeColor="accent4" w:themeTint="90" w:sz="4" w:space="0"/>
        <w:insideH w:val="single" w:color="ffdc6d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c6d" w:themeColor="accent4" w:themeTint="90" w:sz="4" w:space="0"/>
          <w:left w:val="none" w:sz="4" w:space="0"/>
          <w:bottom w:val="single" w:color="ffdc6d" w:themeColor="accent4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c6d" w:themeColor="accent4" w:themeTint="90" w:sz="4" w:space="0"/>
          <w:left w:val="none" w:sz="4" w:space="0"/>
          <w:bottom w:val="single" w:color="ffdc6d" w:themeColor="accent4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</w:style>
  <w:style w:type="table" w:customStyle="1" w:styleId="ListTable2-Accent5">
    <w:name w:val="List Table 2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aede" w:themeColor="accent5" w:themeTint="90" w:sz="4" w:space="0"/>
        <w:bottom w:val="single" w:color="94aede" w:themeColor="accent5" w:themeTint="90" w:sz="4" w:space="0"/>
        <w:insideH w:val="single" w:color="94ae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single" w:color="94aede" w:themeColor="accent5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single" w:color="94aede" w:themeColor="accent5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</w:style>
  <w:style w:type="table" w:customStyle="1" w:styleId="ListTable2-Accent6">
    <w:name w:val="List Table 2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3" w:themeColor="accent6" w:themeTint="90" w:sz="4" w:space="0"/>
        <w:bottom w:val="single" w:color="add393" w:themeColor="accent6" w:themeTint="90" w:sz="4" w:space="0"/>
        <w:insideH w:val="single" w:color="add393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single" w:color="add393" w:themeColor="accent6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single" w:color="add393" w:themeColor="accent6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customStyle="1" w:styleId="ListTable3-Accent3">
    <w:name w:val="List Table 3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ListTable3-Accent4">
    <w:name w:val="List Table 3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a63" w:themeColor="accent4" w:themeTint="9a" w:sz="4" w:space="0"/>
        <w:left w:val="single" w:color="ffda63" w:themeColor="accent4" w:themeTint="9a" w:sz="4" w:space="0"/>
        <w:bottom w:val="single" w:color="ffda63" w:themeColor="accent4" w:themeTint="9a" w:sz="4" w:space="0"/>
        <w:right w:val="single" w:color="ffda6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a63" w:themeColor="accent4" w:themeTint="9a" w:sz="4" w:space="0"/>
          <w:right w:val="single" w:color="ffda6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a63" w:themeColor="accent4" w:themeTint="9a" w:sz="4" w:space="0"/>
          <w:bottom w:val="single" w:color="ffda63" w:themeColor="accent4" w:themeTint="9a" w:sz="4" w:space="0"/>
        </w:tcBorders>
      </w:tcPr>
    </w:tblStylePr>
  </w:style>
  <w:style w:type="table" w:customStyle="1" w:styleId="ListTable3-Accent5">
    <w:name w:val="List Table 3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</w:style>
  <w:style w:type="table" w:customStyle="1" w:styleId="ListTable3-Accent6">
    <w:name w:val="List Table 3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18d" w:themeColor="accent6" w:themeTint="98" w:sz="4" w:space="0"/>
        <w:left w:val="single" w:color="a9d18d" w:themeColor="accent6" w:themeTint="98" w:sz="4" w:space="0"/>
        <w:bottom w:val="single" w:color="a9d18d" w:themeColor="accent6" w:themeTint="98" w:sz="4" w:space="0"/>
        <w:right w:val="single" w:color="a9d18d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18d" w:themeColor="accent6" w:themeTint="98" w:fill="a9d18d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18d" w:themeColor="accent6" w:themeTint="98" w:sz="4" w:space="0"/>
          <w:right w:val="single" w:color="a9d18d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18d" w:themeColor="accent6" w:themeTint="98" w:sz="4" w:space="0"/>
          <w:bottom w:val="single" w:color="a9d18d" w:themeColor="accent6" w:themeTint="98" w:sz="4" w:space="0"/>
        </w:tcBorders>
      </w:tcPr>
    </w:tblStylePr>
  </w:style>
  <w:style w:type="table" w:styleId="ListTable4">
    <w:name w:val="List Table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1c6e7" w:themeColor="accent1" w:themeTint="90" w:sz="4" w:space="0"/>
        <w:left w:val="single" w:color="a1c6e7" w:themeColor="accent1" w:themeTint="90" w:sz="4" w:space="0"/>
        <w:bottom w:val="single" w:color="a1c6e7" w:themeColor="accent1" w:themeTint="90" w:sz="4" w:space="0"/>
        <w:right w:val="single" w:color="a1c6e7" w:themeColor="accent1" w:themeTint="90" w:sz="4" w:space="0"/>
        <w:insideH w:val="single" w:color="a1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</w:style>
  <w:style w:type="table" w:customStyle="1" w:styleId="ListTable4-Accent2">
    <w:name w:val="List Table 4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5b589" w:themeColor="accent2" w:themeTint="90" w:sz="4" w:space="0"/>
        <w:left w:val="single" w:color="f5b589" w:themeColor="accent2" w:themeTint="90" w:sz="4" w:space="0"/>
        <w:bottom w:val="single" w:color="f5b589" w:themeColor="accent2" w:themeTint="90" w:sz="4" w:space="0"/>
        <w:right w:val="single" w:color="f5b589" w:themeColor="accent2" w:themeTint="90" w:sz="4" w:space="0"/>
        <w:insideH w:val="single" w:color="f5b5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</w:style>
  <w:style w:type="table" w:customStyle="1" w:styleId="ListTable4-Accent3">
    <w:name w:val="List Table 4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c6d" w:themeColor="accent4" w:themeTint="90" w:sz="4" w:space="0"/>
        <w:left w:val="single" w:color="ffdc6d" w:themeColor="accent4" w:themeTint="90" w:sz="4" w:space="0"/>
        <w:bottom w:val="single" w:color="ffdc6d" w:themeColor="accent4" w:themeTint="90" w:sz="4" w:space="0"/>
        <w:right w:val="single" w:color="ffdc6d" w:themeColor="accent4" w:themeTint="90" w:sz="4" w:space="0"/>
        <w:insideH w:val="single" w:color="ffdc6d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</w:style>
  <w:style w:type="table" w:customStyle="1" w:styleId="ListTable4-Accent5">
    <w:name w:val="List Table 4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aede" w:themeColor="accent5" w:themeTint="90" w:sz="4" w:space="0"/>
        <w:left w:val="single" w:color="94aede" w:themeColor="accent5" w:themeTint="90" w:sz="4" w:space="0"/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</w:style>
  <w:style w:type="table" w:customStyle="1" w:styleId="ListTable4-Accent6">
    <w:name w:val="List Table 4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3" w:themeColor="accent6" w:themeTint="90" w:sz="4" w:space="0"/>
        <w:left w:val="single" w:color="add393" w:themeColor="accent6" w:themeTint="90" w:sz="4" w:space="0"/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a63" w:themeColor="accent4" w:themeTint="9a" w:sz="32" w:space="0"/>
        <w:left w:val="single" w:color="ffda63" w:themeColor="accent4" w:themeTint="9a" w:sz="32" w:space="0"/>
        <w:bottom w:val="single" w:color="ffda63" w:themeColor="accent4" w:themeTint="9a" w:sz="32" w:space="0"/>
        <w:right w:val="single" w:color="ffda63" w:themeColor="accent4" w:themeTint="9a" w:sz="32" w:space="0"/>
      </w:tblBorders>
      <w:shd w:val="clear" w:color="ffda63" w:themeColor="accent4" w:themeTint="9a" w:fill="ffda6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a63" w:themeColor="accent4" w:themeTint="9a" w:sz="32" w:space="0"/>
          <w:bottom w:val="single" w:color="ffffff" w:themeColor="light1" w:sz="12" w:space="0"/>
        </w:tcBorders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a6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a6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</w:style>
  <w:style w:type="table" w:customStyle="1" w:styleId="ListTable5Dark-Accent5">
    <w:name w:val="List Table 5 Dark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18d" w:themeColor="accent6" w:themeTint="98" w:sz="32" w:space="0"/>
        <w:left w:val="single" w:color="a9d18d" w:themeColor="accent6" w:themeTint="98" w:sz="32" w:space="0"/>
        <w:bottom w:val="single" w:color="a9d18d" w:themeColor="accent6" w:themeTint="98" w:sz="32" w:space="0"/>
        <w:right w:val="single" w:color="a9d18d" w:themeColor="accent6" w:themeTint="98" w:sz="32" w:space="0"/>
      </w:tblBorders>
      <w:shd w:val="clear" w:color="a9d18d" w:themeColor="accent6" w:themeTint="98" w:fill="a9d18d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18d" w:themeColor="accent6" w:themeTint="98" w:sz="32" w:space="0"/>
          <w:bottom w:val="single" w:color="ffffff" w:themeColor="light1" w:sz="12" w:space="0"/>
        </w:tcBorders>
        <w:shd w:val="clear" w:color="a9d18d" w:themeColor="accent6" w:themeTint="98" w:fill="a9d18d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18d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18d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</w:style>
  <w:style w:type="table" w:styleId="ListTable6Colorful">
    <w:name w:val="List Table 6 Colorful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c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c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c" w:themeColor="accent1" w:themeShade="95"/>
      </w:rPr>
    </w:tblStylePr>
    <w:tblStylePr w:type="lastCol">
      <w:rPr>
        <w:b/>
        <w:color w:val="245a8c" w:themeColor="accent1" w:themeShade="95"/>
      </w:rPr>
    </w:tblStylePr>
    <w:tblStylePr w:type="band1Vert">
      <w:tblPr/>
      <w:tcPr>
        <w:shd w:val="clear" w:color="d6e6f4" w:themeColor="accent1" w:themeTint="40" w:fill="d6e6f4" w:themeFill="accent1" w:themeFillTint="40"/>
      </w:tcPr>
    </w:tblStylePr>
    <w:tblStylePr w:type="band1Horz">
      <w:rPr>
        <w:rFonts w:ascii="Arial" w:hAnsi="Arial"/>
        <w:color w:val="245a8c" w:themeColor="accent1" w:themeShade="95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rPr>
        <w:rFonts w:ascii="Arial" w:hAnsi="Arial"/>
        <w:color w:val="245a8c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dca" w:themeColor="accent2" w:themeTint="40" w:fill="faddca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a63" w:themeColor="accent4" w:themeTint="9a" w:sz="4" w:space="0"/>
        <w:bottom w:val="single" w:color="ffda63" w:themeColor="accent4" w:themeTint="9a" w:sz="4" w:space="0"/>
      </w:tblBorders>
    </w:tblPr>
    <w:tblStylePr w:type="firstRow">
      <w:rPr>
        <w:b/>
        <w:color w:val="ffda63" w:themeColor="accent4" w:themeTint="9a"/>
      </w:rPr>
      <w:tblPr/>
      <w:tcPr>
        <w:tcBorders>
          <w:bottom w:val="single" w:color="ffda63" w:themeColor="accent4" w:themeTint="9a" w:sz="4" w:space="0"/>
        </w:tcBorders>
      </w:tcPr>
    </w:tblStylePr>
    <w:tblStylePr w:type="lastRow">
      <w:rPr>
        <w:b/>
        <w:color w:val="ffda63" w:themeColor="accent4" w:themeTint="9a"/>
      </w:rPr>
      <w:tblPr/>
      <w:tcPr>
        <w:tcBorders>
          <w:top w:val="single" w:color="ffda63" w:themeColor="accent4" w:themeTint="9a" w:sz="4" w:space="0"/>
        </w:tcBorders>
      </w:tcPr>
    </w:tblStylePr>
    <w:tblStylePr w:type="firstCol">
      <w:rPr>
        <w:b/>
        <w:color w:val="ffda63" w:themeColor="accent4" w:themeTint="9a"/>
      </w:rPr>
    </w:tblStylePr>
    <w:tblStylePr w:type="lastCol">
      <w:rPr>
        <w:b/>
        <w:color w:val="ffda63" w:themeColor="accent4" w:themeTint="9a"/>
      </w:rPr>
    </w:tblStylePr>
    <w:tblStylePr w:type="band1Vert">
      <w:tblPr/>
      <w:tcPr>
        <w:shd w:val="clear" w:color="ffefbd" w:themeColor="accent4" w:themeTint="40" w:fill="ffefbd" w:themeFill="accent4" w:themeFillTint="40"/>
      </w:tcPr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rPr>
        <w:rFonts w:ascii="Arial" w:hAnsi="Arial"/>
        <w:color w:val="ffda63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/>
      </w:rPr>
      <w:tblPr/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/>
      </w:rPr>
      <w:tblPr/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/>
      </w:rPr>
    </w:tblStylePr>
    <w:tblStylePr w:type="lastCol">
      <w:rPr>
        <w:b/>
        <w:color w:val="8da9db" w:themeColor="accent5" w:themeTint="9a"/>
      </w:r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da9db" w:themeColor="accent5" w:themeTint="9a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da9db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18d" w:themeColor="accent6" w:themeTint="98" w:sz="4" w:space="0"/>
        <w:bottom w:val="single" w:color="a9d18d" w:themeColor="accent6" w:themeTint="98" w:sz="4" w:space="0"/>
      </w:tblBorders>
    </w:tblPr>
    <w:tblStylePr w:type="firstRow">
      <w:rPr>
        <w:b/>
        <w:color w:val="a9d18d" w:themeColor="accent6" w:themeTint="98"/>
      </w:rPr>
      <w:tblPr/>
      <w:tcPr>
        <w:tcBorders>
          <w:bottom w:val="single" w:color="a9d18d" w:themeColor="accent6" w:themeTint="98" w:sz="4" w:space="0"/>
        </w:tcBorders>
      </w:tcPr>
    </w:tblStylePr>
    <w:tblStylePr w:type="lastRow">
      <w:rPr>
        <w:b/>
        <w:color w:val="a9d18d" w:themeColor="accent6" w:themeTint="98"/>
      </w:rPr>
      <w:tblPr/>
      <w:tcPr>
        <w:tcBorders>
          <w:top w:val="single" w:color="a9d18d" w:themeColor="accent6" w:themeTint="98" w:sz="4" w:space="0"/>
        </w:tcBorders>
      </w:tcPr>
    </w:tblStylePr>
    <w:tblStylePr w:type="firstCol">
      <w:rPr>
        <w:b/>
        <w:color w:val="a9d18d" w:themeColor="accent6" w:themeTint="98"/>
      </w:rPr>
    </w:tblStylePr>
    <w:tblStylePr w:type="lastCol">
      <w:rPr>
        <w:b/>
        <w:color w:val="a9d18d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d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d" w:themeColor="accent6" w:themeTint="98"/>
        <w:sz w:val="22"/>
      </w:rPr>
    </w:tblStylePr>
  </w:style>
  <w:style w:type="table" w:styleId="ListTable7Colorful">
    <w:name w:val="List Table 7 Colorful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single" w:color="7f7f7f" w:themeColor="tex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single" w:color="7f7f7f" w:themeColor="text1" w:themeTint="80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none" w:sz="4" w:space="0"/>
          <w:bottom w:val="single" w:color="5b9bd5" w:themeColor="accent1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5"/>
        <w:sz w:val="22"/>
      </w:rPr>
      <w:tblPr/>
      <w:tcPr>
        <w:tcBorders>
          <w:top w:val="single" w:color="5b9bd5" w:themeColor="accent1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single" w:color="5b9bd5" w:themeColor="accent1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d6e6f4" w:themeColor="accent1" w:themeTint="40" w:fill="d6e6f4" w:themeFill="accent1" w:themeFillTint="40"/>
      </w:tcPr>
    </w:tblStylePr>
    <w:tblStylePr w:type="band1Horz">
      <w:rPr>
        <w:rFonts w:ascii="Arial" w:hAnsi="Arial"/>
        <w:color w:val="245a8c" w:themeColor="accent1" w:themeShade="95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rPr>
        <w:rFonts w:ascii="Arial" w:hAnsi="Arial"/>
        <w:color w:val="245a8c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single" w:color="f4b184" w:themeColor="accent2" w:themeTint="97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single" w:color="f4b184" w:themeColor="accent2" w:themeTint="97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faddca" w:themeColor="accent2" w:themeTint="40" w:fill="faddca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none" w:sz="4" w:space="0"/>
          <w:bottom w:val="single" w:color="c9c9c9" w:themeColor="accent3" w:themeTint="98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color="c9c9c9" w:themeColor="accent3" w:themeTint="98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single" w:color="c9c9c9" w:themeColor="accent3" w:themeTint="98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a63" w:themeColor="accent4" w:themeTint="9a" w:sz="4" w:space="0"/>
      </w:tblBorders>
    </w:tblPr>
    <w:tblStylePr w:type="firstRow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single" w:color="ffda63" w:themeColor="accent4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a63" w:themeColor="accent4" w:themeTint="9a"/>
        <w:sz w:val="22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fda6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single" w:color="ffda63" w:themeColor="accent4" w:themeTint="9a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ffefbd" w:themeColor="accent4" w:themeTint="40" w:fill="ffefbd" w:themeFill="accent4" w:themeFillTint="40"/>
      </w:tcPr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rPr>
        <w:rFonts w:ascii="Arial" w:hAnsi="Arial"/>
        <w:color w:val="ffda63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none" w:sz="4" w:space="0"/>
          <w:bottom w:val="single" w:color="8da9db" w:themeColor="accent5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/>
        <w:sz w:val="22"/>
      </w:rPr>
      <w:tblPr/>
      <w:tcPr>
        <w:tcBorders>
          <w:top w:val="single" w:color="8da9db" w:themeColor="accent5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single" w:color="8da9db" w:themeColor="accent5" w:themeTint="9a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da9db" w:themeColor="accent5" w:themeTint="9a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da9db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18d" w:themeColor="accent6" w:themeTint="98" w:sz="4" w:space="0"/>
      </w:tblBorders>
    </w:tblPr>
    <w:tblStylePr w:type="firstRow"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none" w:sz="4" w:space="0"/>
          <w:bottom w:val="single" w:color="a9d18d" w:themeColor="accent6" w:themeTint="98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d" w:themeColor="accent6" w:themeTint="98"/>
        <w:sz w:val="22"/>
      </w:rPr>
      <w:tblPr/>
      <w:tcPr>
        <w:tcBorders>
          <w:top w:val="single" w:color="a9d18d" w:themeColor="accent6" w:themeTint="98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9d18d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single" w:color="a9d18d" w:themeColor="accent6" w:themeTint="98" w:sz="4" w:space="0"/>
          <w:bottom w:val="none" w:sz="4" w:space="0"/>
          <w:right w:val="none" w:sz="4" w:space="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d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d" w:themeColor="accent6" w:themeTint="98"/>
        <w:sz w:val="22"/>
      </w:rPr>
    </w:tblStylePr>
  </w:style>
  <w:style w:type="table" w:customStyle="1" w:styleId="Lined-Accent">
    <w:name w:val="Lined - Accent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</w:style>
  <w:style w:type="table" w:customStyle="1" w:styleId="Lined-Accent2">
    <w:name w:val="Lined - Accent 2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</w:style>
  <w:style w:type="table" w:customStyle="1" w:styleId="Lined-Accent3">
    <w:name w:val="Lined - Accent 3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</w:style>
  <w:style w:type="table" w:customStyle="1" w:styleId="Lined-Accent5">
    <w:name w:val="Lined - Accent 5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</w:style>
  <w:style w:type="table" w:customStyle="1" w:styleId="Lined-Accent6">
    <w:name w:val="Lined - Accent 6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</w:style>
  <w:style w:type="table" w:customStyle="1" w:styleId="Bordered&amp;Lined-Accent">
    <w:name w:val="Bordered &amp; Lined - Accent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&amp;Lined-Accent1">
    <w:name w:val="Bordered &amp; Lined - Accent 1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c" w:themeColor="accent1" w:themeShade="95" w:sz="4" w:space="0"/>
        <w:left w:val="single" w:color="245a8c" w:themeColor="accent1" w:themeShade="95" w:sz="4" w:space="0"/>
        <w:bottom w:val="single" w:color="245a8c" w:themeColor="accent1" w:themeShade="95" w:sz="4" w:space="0"/>
        <w:right w:val="single" w:color="245a8c" w:themeColor="accent1" w:themeShade="95" w:sz="4" w:space="0"/>
        <w:insideH w:val="single" w:color="245a8c" w:themeColor="accent1" w:themeShade="95" w:sz="4" w:space="0"/>
        <w:insideV w:val="single" w:color="245a8c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</w:style>
  <w:style w:type="table" w:customStyle="1" w:styleId="Bordered&amp;Lined-Accent2">
    <w:name w:val="Bordered &amp; Lined - Accent 2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</w:style>
  <w:style w:type="table" w:customStyle="1" w:styleId="Bordered&amp;Lined-Accent3">
    <w:name w:val="Bordered &amp; Lined - Accent 3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&amp;Lined-Accent4">
    <w:name w:val="Bordered &amp; Lined - Accent 4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47100" w:themeColor="accent4" w:themeShade="95" w:sz="4" w:space="0"/>
        <w:left w:val="single" w:color="947100" w:themeColor="accent4" w:themeShade="95" w:sz="4" w:space="0"/>
        <w:bottom w:val="single" w:color="947100" w:themeColor="accent4" w:themeShade="95" w:sz="4" w:space="0"/>
        <w:right w:val="single" w:color="947100" w:themeColor="accent4" w:themeShade="95" w:sz="4" w:space="0"/>
        <w:insideH w:val="single" w:color="947100" w:themeColor="accent4" w:themeShade="95" w:sz="4" w:space="0"/>
        <w:insideV w:val="single" w:color="9471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</w:style>
  <w:style w:type="table" w:customStyle="1" w:styleId="Bordered&amp;Lined-Accent5">
    <w:name w:val="Bordered &amp; Lined - Accent 5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275" w:themeColor="accent5" w:themeShade="95" w:sz="4" w:space="0"/>
        <w:left w:val="single" w:color="254275" w:themeColor="accent5" w:themeShade="95" w:sz="4" w:space="0"/>
        <w:bottom w:val="single" w:color="254275" w:themeColor="accent5" w:themeShade="95" w:sz="4" w:space="0"/>
        <w:right w:val="single" w:color="254275" w:themeColor="accent5" w:themeShade="95" w:sz="4" w:space="0"/>
        <w:insideH w:val="single" w:color="254275" w:themeColor="accent5" w:themeShade="95" w:sz="4" w:space="0"/>
        <w:insideV w:val="single" w:color="2542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</w:style>
  <w:style w:type="table" w:customStyle="1" w:styleId="Bordered&amp;Lined-Accent6">
    <w:name w:val="Bordered &amp; Lined - Accent 6"/>
    <w:basedOn w:val="NormalTable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</w:style>
  <w:style w:type="table" w:customStyle="1" w:styleId="Bordered">
    <w:name w:val="Bordered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customStyle="1" w:styleId="Bordered-Accent1">
    <w:name w:val="Bordered - Accent 1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Bordered-Accent2">
    <w:name w:val="Bordered - Accent 2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8caaa" w:themeColor="accent2" w:themeTint="67" w:sz="4" w:space="0"/>
        <w:left w:val="single" w:color="f8caaa" w:themeColor="accent2" w:themeTint="67" w:sz="4" w:space="0"/>
        <w:bottom w:val="single" w:color="f8caaa" w:themeColor="accent2" w:themeTint="67" w:sz="4" w:space="0"/>
        <w:right w:val="single" w:color="f8caaa" w:themeColor="accent2" w:themeTint="67" w:sz="4" w:space="0"/>
        <w:insideH w:val="single" w:color="f8caaa" w:themeColor="accent2" w:themeTint="67" w:sz="4" w:space="0"/>
        <w:insideV w:val="single" w:color="f8ca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aaa" w:themeColor="accent2" w:themeTint="67" w:sz="4" w:space="0"/>
          <w:left w:val="single" w:color="f8caaa" w:themeColor="accent2" w:themeTint="67" w:sz="4" w:space="0"/>
          <w:bottom w:val="single" w:color="f8caaa" w:themeColor="accent2" w:themeTint="67" w:sz="4" w:space="0"/>
          <w:right w:val="single" w:color="f8caaa" w:themeColor="accent2" w:themeTint="67" w:sz="4" w:space="0"/>
        </w:tcBorders>
      </w:tcPr>
    </w:tblStylePr>
  </w:style>
  <w:style w:type="table" w:customStyle="1" w:styleId="Bordered-Accent3">
    <w:name w:val="Bordered - Accent 3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Bordered-Accent4">
    <w:name w:val="Bordered - Accent 4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697" w:themeColor="accent4" w:themeTint="67" w:sz="4" w:space="0"/>
        <w:left w:val="single" w:color="ffe697" w:themeColor="accent4" w:themeTint="67" w:sz="4" w:space="0"/>
        <w:bottom w:val="single" w:color="ffe697" w:themeColor="accent4" w:themeTint="67" w:sz="4" w:space="0"/>
        <w:right w:val="single" w:color="ffe697" w:themeColor="accent4" w:themeTint="67" w:sz="4" w:space="0"/>
        <w:insideH w:val="single" w:color="ffe697" w:themeColor="accent4" w:themeTint="67" w:sz="4" w:space="0"/>
        <w:insideV w:val="single" w:color="ffe6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a6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a6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a6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697" w:themeColor="accent4" w:themeTint="67" w:sz="4" w:space="0"/>
          <w:left w:val="single" w:color="ffe697" w:themeColor="accent4" w:themeTint="67" w:sz="4" w:space="0"/>
          <w:bottom w:val="single" w:color="ffe697" w:themeColor="accent4" w:themeTint="67" w:sz="4" w:space="0"/>
          <w:right w:val="single" w:color="ffe697" w:themeColor="accent4" w:themeTint="67" w:sz="4" w:space="0"/>
        </w:tcBorders>
      </w:tcPr>
    </w:tblStylePr>
  </w:style>
  <w:style w:type="table" w:customStyle="1" w:styleId="Bordered-Accent5">
    <w:name w:val="Bordered - Accent 5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Bordered-Accent6">
    <w:name w:val="Bordered - Accent 6"/>
    <w:basedOn w:val="NormalTable"/>
    <w:uiPriority w:val="99"/>
    <w:pPr>
      <w:spacing w:after="0" w:line="240" w:lineRule="auto"/>
    </w:pPr>
    <w:tblPr>
      <w:tblStyleRowBandSize w:val="1"/>
      <w:tblStyleColBandSize w:val="1"/>
      <w:tblBorders>
        <w:top w:val="single" w:color="c5e0b2" w:themeColor="accent6" w:themeTint="67" w:sz="4" w:space="0"/>
        <w:left w:val="single" w:color="c5e0b2" w:themeColor="accent6" w:themeTint="67" w:sz="4" w:space="0"/>
        <w:bottom w:val="single" w:color="c5e0b2" w:themeColor="accent6" w:themeTint="67" w:sz="4" w:space="0"/>
        <w:right w:val="single" w:color="c5e0b2" w:themeColor="accent6" w:themeTint="67" w:sz="4" w:space="0"/>
        <w:insideH w:val="single" w:color="c5e0b2" w:themeColor="accent6" w:themeTint="67" w:sz="4" w:space="0"/>
        <w:insideV w:val="single" w:color="c5e0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18d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18d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18d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5e0b2" w:themeColor="accent6" w:themeTint="67" w:sz="4" w:space="0"/>
          <w:left w:val="single" w:color="c5e0b2" w:themeColor="accent6" w:themeTint="67" w:sz="4" w:space="0"/>
          <w:bottom w:val="single" w:color="c5e0b2" w:themeColor="accent6" w:themeTint="67" w:sz="4" w:space="0"/>
          <w:right w:val="single" w:color="c5e0b2" w:themeColor="accent6" w:themeTint="67" w:sz="4" w:space="0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cs="Arial" w:eastAsia="Arial" w:hAnsi="Arial"/>
      <w:color w:val="2e74b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cs="Arial" w:eastAsia="Arial" w:hAnsi="Arial"/>
      <w:color w:val="2e74b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cs="Arial" w:eastAsia="Arial" w:hAnsi="Arial"/>
      <w:color w:val="2e74b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cs="Arial" w:eastAsia="Arial" w:hAnsi="Arial"/>
      <w:i/>
      <w:iCs/>
      <w:color w:val="2e74b4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cs="Arial" w:eastAsia="Arial" w:hAnsi="Arial"/>
      <w:color w:val="2e74b4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cs="Arial" w:eastAsia="Arial" w:hAnsi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cs="Arial" w:eastAsia="Arial" w:hAnsi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cs="Arial" w:eastAsia="Arial" w:hAnsi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cs="Arial" w:eastAsia="Arial" w:hAnsi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 w:line="240" w:lineRule="auto"/>
      <w:contextualSpacing w:val="on"/>
    </w:pPr>
    <w:rPr>
      <w:rFonts w:ascii="Arial" w:cs="Arial" w:eastAsia="Arial" w:hAnsi="Arial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="Arial" w:cs="Arial" w:eastAsia="Arial" w:hAnsi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e74b4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e74b4" w:themeColor="accent1" w:themeShade="bf" w:sz="4" w:space="10"/>
        <w:bottom w:val="single" w:color="2e74b4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4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i/>
      <w:iCs/>
      <w:color w:val="2e74b4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e74b4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 w:val="on"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noteTextChar">
    <w:name w:val="Footnote Text Char"/>
    <w:basedOn w:val="DefaultParagraphFont"/>
    <w:uiPriority w:val="99"/>
    <w:semiHidden w:val="on"/>
    <w:rPr>
      <w:sz w:val="20"/>
      <w:szCs w:val="20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 w:val="on"/>
    <w:pPr>
      <w:spacing w:after="0"/>
    </w:p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NoSpacing">
    <w:name w:val="No Spacing"/>
    <w:link w:val="БезинтервалаЗнак"/>
    <w:uiPriority w:val="1"/>
    <w:qFormat w:val="on"/>
    <w:pPr>
      <w:spacing w:after="0" w:line="240" w:lineRule="auto"/>
    </w:pPr>
    <w:rPr>
      <w:rFonts w:eastAsiaTheme="minorEastAsia"/>
      <w:lang w:eastAsia="ru-RU"/>
    </w:rPr>
  </w:style>
  <w:style w:type="character" w:customStyle="1" w:styleId="БезинтервалаЗнак">
    <w:name w:val="Без интервала Знак"/>
    <w:basedOn w:val="DefaultParagraphFont"/>
    <w:link w:val="NoSpacing"/>
    <w:uiPriority w:val="1"/>
    <w:rPr>
      <w:rFonts w:eastAsiaTheme="minorEastAsia"/>
      <w:lang w:eastAsia="ru-RU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styleId="BalloonText">
    <w:name w:val="Balloon Text"/>
    <w:basedOn w:val="Normal"/>
    <w:link w:val="ТекствыноскиЗнак"/>
    <w:uiPriority w:val="99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rPr>
      <w:rFonts w:ascii="Tahoma" w:cs="Tahoma" w:hAnsi="Tahoma"/>
      <w:sz w:val="16"/>
      <w:szCs w:val="16"/>
    </w:rPr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rFonts w:ascii="Arial" w:cs="Times New Roman" w:eastAsia="Times New Roman" w:hAnsi="Arial"/>
      <w:b/>
      <w:bCs/>
      <w:caps/>
      <w:color w:val="2c8de6"/>
      <w:sz w:val="36"/>
      <w:szCs w:val="24"/>
      <w:lang w:val="en-GB"/>
    </w:rPr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ascii="Arial" w:cs="Times New Roman" w:eastAsia="Times New Roman" w:hAnsi="Arial"/>
      <w:b/>
      <w:sz w:val="28"/>
      <w:szCs w:val="24"/>
      <w:lang w:val="en-GB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ascii="Arial" w:cs="Arial" w:eastAsia="Times New Roman" w:hAnsi="Arial"/>
      <w:b/>
      <w:bCs/>
      <w:szCs w:val="26"/>
      <w:lang w:val="en-GB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ascii="Arial" w:cs="Times New Roman" w:eastAsia="Times New Roman" w:hAnsi="Arial"/>
      <w:b/>
      <w:sz w:val="28"/>
      <w:szCs w:val="20"/>
      <w:lang w:val="en-AU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rFonts w:ascii="Arial" w:cs="Times New Roman" w:eastAsia="Times New Roman" w:hAnsi="Arial"/>
      <w:b/>
      <w:bCs/>
      <w:sz w:val="28"/>
      <w:szCs w:val="24"/>
      <w:lang w:val="en-GB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ascii="Arial" w:cs="Times New Roman" w:eastAsia="Times New Roman" w:hAnsi="Arial"/>
      <w:b/>
      <w:sz w:val="24"/>
      <w:szCs w:val="20"/>
      <w:lang w:val="en-AU"/>
    </w:rPr>
  </w:style>
  <w:style w:type="character" w:customStyle="1" w:styleId="Заголовок7Знак">
    <w:name w:val="Заголовок 7 Знак"/>
    <w:basedOn w:val="DefaultParagraphFont"/>
    <w:link w:val="Heading7"/>
    <w:uiPriority w:val="99"/>
    <w:rPr>
      <w:rFonts w:ascii="Arial" w:cs="Times New Roman" w:eastAsia="Times New Roman" w:hAnsi="Arial"/>
      <w:spacing w:val="-3"/>
      <w:sz w:val="28"/>
      <w:szCs w:val="20"/>
      <w:lang w:val="en-US"/>
    </w:rPr>
  </w:style>
  <w:style w:type="character" w:customStyle="1" w:styleId="Заголовок8Знак">
    <w:name w:val="Заголовок 8 Знак"/>
    <w:basedOn w:val="DefaultParagraphFont"/>
    <w:link w:val="Heading8"/>
    <w:uiPriority w:val="99"/>
    <w:rPr>
      <w:rFonts w:ascii="Arial" w:cs="Times New Roman" w:eastAsia="Times New Roman" w:hAnsi="Arial"/>
      <w:b/>
      <w:bCs/>
      <w:sz w:val="24"/>
      <w:szCs w:val="24"/>
      <w:lang w:val="en-GB"/>
    </w:rPr>
  </w:style>
  <w:style w:type="character" w:customStyle="1" w:styleId="Заголовок9Знак">
    <w:name w:val="Заголовок 9 Знак"/>
    <w:basedOn w:val="DefaultParagraphFont"/>
    <w:link w:val="Heading9"/>
    <w:uiPriority w:val="99"/>
    <w:rPr>
      <w:rFonts w:ascii="Arial" w:cs="Times New Roman" w:eastAsia="Times New Roman" w:hAnsi="Arial"/>
      <w:sz w:val="24"/>
      <w:szCs w:val="20"/>
      <w:u w:val="single"/>
      <w:lang w:val="en-AU"/>
    </w:r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NormalTable"/>
    <w:uiPriority w:val="3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oc1">
    <w:name w:val="Toc 1"/>
    <w:basedOn w:val="Normal"/>
    <w:next w:val="Normal"/>
    <w:uiPriority w:val="39"/>
    <w:qFormat w:val="on"/>
    <w:pPr>
      <w:tabs>
        <w:tab w:val="right" w:leader="dot" w:pos="9825"/>
      </w:tabs>
      <w:spacing w:after="0" w:line="360" w:lineRule="auto"/>
    </w:pPr>
    <w:rPr>
      <w:rFonts w:ascii="Arial" w:cs="Times New Roman" w:eastAsia="Times New Roman" w:hAnsi="Arial"/>
      <w:bCs/>
      <w:sz w:val="24"/>
      <w:szCs w:val="28"/>
      <w:lang w:val="en-AU"/>
    </w:rPr>
  </w:style>
  <w:style w:type="paragraph" w:customStyle="1" w:styleId="Numberedlist">
    <w:name w:val="Numbered list"/>
    <w:basedOn w:val="Bullet"/>
    <w:uiPriority w:val="99"/>
  </w:style>
  <w:style w:type="paragraph" w:customStyle="1" w:styleId="Bullet">
    <w:name w:val="Bullet"/>
    <w:basedOn w:val="Normal"/>
    <w:uiPriority w:val="99"/>
    <w:pPr>
      <w:numPr>
        <w:ilvl w:val="0"/>
        <w:numId w:val="1"/>
      </w:numPr>
      <w:spacing w:after="0" w:line="360" w:lineRule="auto"/>
    </w:pPr>
    <w:rPr>
      <w:rFonts w:ascii="Arial" w:cs="Times New Roman" w:eastAsia="Times New Roman" w:hAnsi="Arial"/>
      <w:szCs w:val="24"/>
      <w:lang w:val="en-GB"/>
    </w:rPr>
  </w:style>
  <w:style w:type="character" w:styleId="Pagenumber">
    <w:name w:val="Page number"/>
    <w:uiPriority w:val="99"/>
    <w:rPr>
      <w:rFonts w:ascii="Arial" w:hAnsi="Arial"/>
      <w:sz w:val="16"/>
    </w:rPr>
  </w:style>
  <w:style w:type="paragraph" w:customStyle="1" w:styleId="Docsubtitle1">
    <w:name w:val="Doc subtitle1"/>
    <w:basedOn w:val="Normal"/>
    <w:link w:val="Docsubtitle1Char"/>
    <w:uiPriority w:val="99"/>
    <w:pPr>
      <w:spacing w:after="0" w:line="360" w:lineRule="auto"/>
    </w:pPr>
    <w:rPr>
      <w:rFonts w:ascii="Arial" w:cs="Times New Roman" w:eastAsia="Times New Roman" w:hAnsi="Arial"/>
      <w:b/>
      <w:sz w:val="28"/>
      <w:szCs w:val="24"/>
      <w:lang w:val="en-GB"/>
    </w:rPr>
  </w:style>
  <w:style w:type="paragraph" w:customStyle="1" w:styleId="Docsubtitle2">
    <w:name w:val="Doc subtitle2"/>
    <w:basedOn w:val="Normal"/>
    <w:uiPriority w:val="99"/>
    <w:pPr>
      <w:spacing w:after="0" w:line="360" w:lineRule="auto"/>
    </w:pPr>
    <w:rPr>
      <w:rFonts w:ascii="Arial" w:cs="Times New Roman" w:eastAsia="Times New Roman" w:hAnsi="Arial"/>
      <w:sz w:val="28"/>
      <w:szCs w:val="24"/>
      <w:lang w:val="en-GB"/>
    </w:rPr>
  </w:style>
  <w:style w:type="paragraph" w:customStyle="1" w:styleId="Doctitle">
    <w:name w:val="Doc title"/>
    <w:basedOn w:val="Normal"/>
    <w:uiPriority w:val="99"/>
    <w:pPr>
      <w:spacing w:after="0" w:line="360" w:lineRule="auto"/>
    </w:pPr>
    <w:rPr>
      <w:rFonts w:ascii="Arial" w:cs="Times New Roman" w:eastAsia="Times New Roman" w:hAnsi="Arial"/>
      <w:b/>
      <w:sz w:val="40"/>
      <w:szCs w:val="24"/>
      <w:lang w:val="en-GB"/>
    </w:rPr>
  </w:style>
  <w:style w:type="paragraph" w:styleId="BodyText">
    <w:name w:val="Body Text"/>
    <w:basedOn w:val="Normal"/>
    <w:link w:val="ОсновнойтекстЗнак"/>
    <w:uiPriority w:val="99"/>
    <w:semiHidden w:val="on"/>
    <w:pPr>
      <w:widowControl w:val="off"/>
      <w:spacing w:after="0" w:line="360" w:lineRule="auto"/>
      <w:jc w:val="both"/>
    </w:pPr>
    <w:rPr>
      <w:rFonts w:ascii="Arial" w:cs="Times New Roman" w:eastAsia="Times New Roman" w:hAnsi="Arial"/>
      <w:sz w:val="24"/>
      <w:szCs w:val="20"/>
      <w:lang w:val="en-AU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semiHidden w:val="on"/>
    <w:rPr>
      <w:rFonts w:ascii="Arial" w:cs="Times New Roman" w:eastAsia="Times New Roman" w:hAnsi="Arial"/>
      <w:sz w:val="24"/>
      <w:szCs w:val="20"/>
      <w:lang w:val="en-AU"/>
    </w:rPr>
  </w:style>
  <w:style w:type="paragraph" w:styleId="BodyTextIndent2">
    <w:name w:val="Body Text Indent 2"/>
    <w:basedOn w:val="Normal"/>
    <w:link w:val="Основнойтекстсотступом2Знак"/>
    <w:uiPriority w:val="99"/>
    <w:semiHidden w:val="on"/>
    <w:pPr>
      <w:spacing w:after="0" w:line="360" w:lineRule="auto"/>
      <w:ind w:left="720"/>
    </w:pPr>
    <w:rPr>
      <w:rFonts w:ascii="Arial" w:cs="Times New Roman" w:eastAsia="Times New Roman" w:hAnsi="Arial"/>
      <w:sz w:val="24"/>
      <w:szCs w:val="20"/>
      <w:lang w:val="en-US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semiHidden w:val="on"/>
    <w:rPr>
      <w:rFonts w:ascii="Arial" w:cs="Times New Roman" w:eastAsia="Times New Roman" w:hAnsi="Arial"/>
      <w:sz w:val="24"/>
      <w:szCs w:val="20"/>
      <w:lang w:val="en-US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widowControl w:val="off"/>
      <w:spacing w:after="0" w:line="360" w:lineRule="auto"/>
      <w:jc w:val="both"/>
    </w:pPr>
    <w:rPr>
      <w:rFonts w:ascii="Arial" w:cs="Times New Roman" w:eastAsia="Times New Roman" w:hAnsi="Arial"/>
      <w:spacing w:val="-3"/>
      <w:szCs w:val="20"/>
      <w:lang w:val="en-US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semiHidden w:val="on"/>
    <w:rPr>
      <w:rFonts w:ascii="Arial" w:cs="Times New Roman" w:eastAsia="Times New Roman" w:hAnsi="Arial"/>
      <w:spacing w:val="-3"/>
      <w:szCs w:val="20"/>
      <w:lang w:val="en-US"/>
    </w:rPr>
  </w:style>
  <w:style w:type="paragraph" w:styleId="Caption">
    <w:name w:val="Caption"/>
    <w:basedOn w:val="Normal"/>
    <w:next w:val="Normal"/>
    <w:uiPriority w:val="99"/>
    <w:qFormat w:val="on"/>
    <w:pPr>
      <w:widowControl w:val="off"/>
      <w:spacing w:before="240" w:after="0" w:line="360" w:lineRule="auto"/>
      <w:jc w:val="center"/>
    </w:pPr>
    <w:rPr>
      <w:rFonts w:ascii="Arial" w:cs="Times New Roman" w:eastAsia="Times New Roman" w:hAnsi="Arial"/>
      <w:b/>
      <w:sz w:val="36"/>
      <w:szCs w:val="20"/>
      <w:lang w:val="en-AU"/>
    </w:rPr>
  </w:style>
  <w:style w:type="paragraph" w:customStyle="1" w:styleId="Абзацсписка1">
    <w:name w:val="Абзац списка1"/>
    <w:basedOn w:val="Normal"/>
    <w:uiPriority w:val="99"/>
    <w:pPr>
      <w:spacing w:after="0" w:line="360" w:lineRule="auto"/>
      <w:ind w:left="720"/>
    </w:pPr>
    <w:rPr>
      <w:rFonts w:ascii="Arial" w:cs="Times New Roman" w:eastAsia="Times New Roman" w:hAnsi="Arial"/>
      <w:szCs w:val="24"/>
      <w:lang w:val="en-GB"/>
    </w:rPr>
  </w:style>
  <w:style w:type="character" w:customStyle="1" w:styleId="Docsubtitle1Char">
    <w:name w:val="Doc subtitle1 Char"/>
    <w:link w:val="Docsubtitle1"/>
    <w:uiPriority w:val="99"/>
    <w:rPr>
      <w:rFonts w:ascii="Arial" w:cs="Times New Roman" w:eastAsia="Times New Roman" w:hAnsi="Arial"/>
      <w:b/>
      <w:sz w:val="28"/>
      <w:szCs w:val="24"/>
      <w:lang w:val="en-GB"/>
    </w:rPr>
  </w:style>
  <w:style w:type="paragraph" w:styleId="Footnotetext">
    <w:name w:val="Footnote text"/>
    <w:basedOn w:val="Normal"/>
    <w:link w:val="ТекстсноскиЗнак"/>
    <w:uiPriority w:val="99"/>
    <w:pPr>
      <w:spacing w:after="0" w:line="360" w:lineRule="auto"/>
    </w:pPr>
    <w:rPr>
      <w:rFonts w:ascii="Times New Roman" w:cs="Times New Roman" w:eastAsia="Times New Roman" w:hAnsi="Times New Roman"/>
      <w:szCs w:val="20"/>
      <w:lang w:eastAsia="ru-RU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rPr>
      <w:rFonts w:ascii="Times New Roman" w:cs="Times New Roman" w:eastAsia="Times New Roman" w:hAnsi="Times New Roman"/>
      <w:szCs w:val="20"/>
      <w:lang w:eastAsia="ru-RU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customStyle="1" w:styleId="цветнойтекст">
    <w:name w:val="цветной текст"/>
    <w:basedOn w:val="Normal"/>
    <w:uiPriority w:val="99"/>
    <w:qFormat w:val="on"/>
    <w:pPr>
      <w:numPr>
        <w:ilvl w:val="0"/>
        <w:numId w:val="3"/>
      </w:numPr>
      <w:spacing w:after="0" w:line="360" w:lineRule="auto"/>
      <w:jc w:val="both"/>
    </w:pPr>
    <w:rPr>
      <w:rFonts w:ascii="Times New Roman" w:cs="Times New Roman" w:eastAsia="Times New Roman" w:hAnsi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uiPriority w:val="99"/>
    <w:pPr>
      <w:spacing w:after="200" w:line="276" w:lineRule="auto"/>
    </w:pPr>
    <w:rPr>
      <w:rFonts w:ascii="Calibri" w:cs="Times New Roman" w:eastAsia="Times New Roman" w:hAnsi="Calibri"/>
      <w:lang w:eastAsia="ru-RU"/>
    </w:rPr>
  </w:style>
  <w:style w:type="paragraph" w:customStyle="1" w:styleId="выделениецвет">
    <w:name w:val="выделение цвет"/>
    <w:basedOn w:val="Normal"/>
    <w:link w:val="выделениецветЗнак"/>
    <w:uiPriority w:val="99"/>
    <w:pPr>
      <w:spacing w:after="0" w:line="360" w:lineRule="auto"/>
      <w:jc w:val="both"/>
    </w:pPr>
    <w:rPr>
      <w:rFonts w:ascii="Times New Roman" w:cs="Times New Roman" w:eastAsia="Times New Roman" w:hAnsi="Times New Roman"/>
      <w:b/>
      <w:color w:val="2c8de6"/>
      <w:szCs w:val="20"/>
      <w:u w:val="single"/>
      <w:lang w:eastAsia="ru-RU"/>
    </w:rPr>
  </w:style>
  <w:style w:type="character" w:customStyle="1" w:styleId="цветвтаблице">
    <w:name w:val="цвет в таблице"/>
    <w:uiPriority w:val="99"/>
    <w:rPr>
      <w:color w:val="2c8de6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keepLines w:val="on"/>
      <w:spacing w:before="480" w:after="0" w:line="276" w:lineRule="auto"/>
    </w:pPr>
    <w:rPr>
      <w:rFonts w:ascii="Cambria" w:hAnsi="Cambria"/>
      <w:caps w:val="off"/>
      <w:color w:val="365f91"/>
      <w:sz w:val="28"/>
      <w:szCs w:val="28"/>
      <w:lang w:val="ru-RU" w:eastAsia="ru-RU"/>
    </w:rPr>
  </w:style>
  <w:style w:type="paragraph" w:styleId="Toc2">
    <w:name w:val="Toc 2"/>
    <w:basedOn w:val="Normal"/>
    <w:next w:val="Normal"/>
    <w:uiPriority w:val="39"/>
    <w:qFormat w:val="on"/>
    <w:pPr>
      <w:tabs>
        <w:tab w:val="left" w:pos="142"/>
        <w:tab w:val="right" w:leader="dot" w:pos="9639"/>
      </w:tabs>
      <w:spacing w:after="0" w:line="240" w:lineRule="auto"/>
    </w:pPr>
    <w:rPr>
      <w:rFonts w:ascii="Times New Roman" w:cs="Times New Roman" w:eastAsia="Times New Roman" w:hAnsi="Times New Roman"/>
      <w:szCs w:val="20"/>
      <w:lang w:eastAsia="ru-RU"/>
    </w:rPr>
  </w:style>
  <w:style w:type="paragraph" w:styleId="Toc3">
    <w:name w:val="Toc 3"/>
    <w:basedOn w:val="Normal"/>
    <w:next w:val="Normal"/>
    <w:uiPriority w:val="39"/>
    <w:unhideWhenUsed w:val="on"/>
    <w:qFormat w:val="on"/>
    <w:pPr>
      <w:spacing w:after="100" w:line="276" w:lineRule="auto"/>
      <w:ind w:left="440"/>
    </w:pPr>
    <w:rPr>
      <w:rFonts w:ascii="Calibri" w:cs="Times New Roman" w:eastAsia="Times New Roman" w:hAnsi="Calibri"/>
      <w:lang w:eastAsia="ru-RU"/>
    </w:rPr>
  </w:style>
  <w:style w:type="paragraph" w:customStyle="1" w:styleId="!Заголовок-1">
    <w:name w:val="!Заголовок-1"/>
    <w:basedOn w:val="Heading1"/>
    <w:link w:val="!Заголовок-1Знак"/>
    <w:uiPriority w:val="99"/>
    <w:qFormat w:val="on"/>
    <w:rPr>
      <w:lang w:val="ru-RU"/>
    </w:rPr>
  </w:style>
  <w:style w:type="paragraph" w:customStyle="1" w:styleId="!заголовок-2">
    <w:name w:val="!заголовок-2"/>
    <w:basedOn w:val="Heading2"/>
    <w:link w:val="!заголовок-2Знак"/>
    <w:uiPriority w:val="99"/>
    <w:qFormat w:val="on"/>
    <w:rPr>
      <w:lang w:val="ru-RU"/>
    </w:rPr>
  </w:style>
  <w:style w:type="character" w:customStyle="1" w:styleId="!Заголовок-1Знак">
    <w:name w:val="!Заголовок-1 Знак"/>
    <w:link w:val="!Заголовок-1"/>
    <w:uiPriority w:val="99"/>
    <w:rPr>
      <w:rFonts w:ascii="Arial" w:cs="Times New Roman" w:eastAsia="Times New Roman" w:hAnsi="Arial"/>
      <w:b/>
      <w:bCs/>
      <w:caps/>
      <w:color w:val="2c8de6"/>
      <w:sz w:val="36"/>
      <w:szCs w:val="24"/>
    </w:rPr>
  </w:style>
  <w:style w:type="paragraph" w:customStyle="1" w:styleId="!Текст">
    <w:name w:val="!Текст"/>
    <w:basedOn w:val="Normal"/>
    <w:link w:val="!ТекстЗнак"/>
    <w:uiPriority w:val="99"/>
    <w:qFormat w:val="on"/>
    <w:pPr>
      <w:spacing w:after="0" w:line="360" w:lineRule="auto"/>
      <w:jc w:val="both"/>
    </w:pPr>
    <w:rPr>
      <w:rFonts w:ascii="Times New Roman" w:cs="Times New Roman" w:eastAsia="Times New Roman" w:hAnsi="Times New Roman"/>
      <w:szCs w:val="20"/>
      <w:lang w:eastAsia="ru-RU"/>
    </w:rPr>
  </w:style>
  <w:style w:type="character" w:customStyle="1" w:styleId="!заголовок-2Знак">
    <w:name w:val="!заголовок-2 Знак"/>
    <w:link w:val="!заголовок-2"/>
    <w:uiPriority w:val="99"/>
    <w:rPr>
      <w:rFonts w:ascii="Arial" w:cs="Times New Roman" w:eastAsia="Times New Roman" w:hAnsi="Arial"/>
      <w:b/>
      <w:sz w:val="28"/>
      <w:szCs w:val="24"/>
    </w:rPr>
  </w:style>
  <w:style w:type="paragraph" w:customStyle="1" w:styleId="!Синийзаголовоктекста">
    <w:name w:val="!Синий заголовок текста"/>
    <w:basedOn w:val="выделениецвет"/>
    <w:link w:val="!СинийзаголовоктекстаЗнак"/>
    <w:uiPriority w:val="99"/>
    <w:qFormat w:val="on"/>
  </w:style>
  <w:style w:type="character" w:customStyle="1" w:styleId="!ТекстЗнак">
    <w:name w:val="!Текст Знак"/>
    <w:link w:val="!Текст"/>
    <w:uiPriority w:val="99"/>
    <w:rPr>
      <w:rFonts w:ascii="Times New Roman" w:cs="Times New Roman" w:eastAsia="Times New Roman" w:hAnsi="Times New Roman"/>
      <w:szCs w:val="20"/>
      <w:lang w:eastAsia="ru-RU"/>
    </w:rPr>
  </w:style>
  <w:style w:type="paragraph" w:customStyle="1" w:styleId="!Списоксточками">
    <w:name w:val="!Список с точками"/>
    <w:basedOn w:val="Normal"/>
    <w:link w:val="!СписоксточкамиЗнак"/>
    <w:uiPriority w:val="99"/>
    <w:qFormat w:val="on"/>
    <w:pPr>
      <w:numPr>
        <w:ilvl w:val="0"/>
        <w:numId w:val="2"/>
      </w:numPr>
      <w:spacing w:after="0" w:line="360" w:lineRule="auto"/>
      <w:jc w:val="both"/>
    </w:pPr>
    <w:rPr>
      <w:rFonts w:ascii="Times New Roman" w:cs="Times New Roman" w:eastAsia="Times New Roman" w:hAnsi="Times New Roman"/>
      <w:szCs w:val="20"/>
      <w:lang w:eastAsia="ru-RU"/>
    </w:rPr>
  </w:style>
  <w:style w:type="character" w:customStyle="1" w:styleId="выделениецветЗнак">
    <w:name w:val="выделение цвет Знак"/>
    <w:link w:val="выделениецвет"/>
    <w:uiPriority w:val="99"/>
    <w:rPr>
      <w:rFonts w:ascii="Times New Roman" w:cs="Times New Roman" w:eastAsia="Times New Roman" w:hAnsi="Times New Roman"/>
      <w:b/>
      <w:color w:val="2c8de6"/>
      <w:szCs w:val="20"/>
      <w:u w:val="single"/>
      <w:lang w:eastAsia="ru-RU"/>
    </w:rPr>
  </w:style>
  <w:style w:type="character" w:customStyle="1" w:styleId="!СинийзаголовоктекстаЗнак">
    <w:name w:val="!Синий заголовок текста Знак"/>
    <w:link w:val="!Синийзаголовоктекста"/>
    <w:uiPriority w:val="99"/>
    <w:rPr>
      <w:rFonts w:ascii="Times New Roman" w:cs="Times New Roman" w:eastAsia="Times New Roman" w:hAnsi="Times New Roman"/>
      <w:b/>
      <w:color w:val="2c8de6"/>
      <w:szCs w:val="20"/>
      <w:u w:val="single"/>
      <w:lang w:eastAsia="ru-RU"/>
    </w:rPr>
  </w:style>
  <w:style w:type="paragraph" w:styleId="ListParagraph">
    <w:name w:val="List Paragraph"/>
    <w:basedOn w:val="Normal"/>
    <w:uiPriority w:val="34"/>
    <w:qFormat w:val="on"/>
    <w:pPr>
      <w:spacing w:after="200" w:line="276" w:lineRule="auto"/>
      <w:ind w:left="720"/>
      <w:contextualSpacing w:val="on"/>
    </w:pPr>
    <w:rPr>
      <w:rFonts w:ascii="Calibri" w:cs="Times New Roman" w:eastAsia="Calibri" w:hAnsi="Calibri"/>
    </w:rPr>
  </w:style>
  <w:style w:type="character" w:customStyle="1" w:styleId="!СписоксточкамиЗнак">
    <w:name w:val="!Список с точками Знак"/>
    <w:link w:val="!Списоксточками"/>
    <w:uiPriority w:val="99"/>
    <w:rPr>
      <w:rFonts w:ascii="Times New Roman" w:cs="Times New Roman" w:eastAsia="Times New Roman" w:hAnsi="Times New Roman"/>
      <w:szCs w:val="20"/>
      <w:lang w:eastAsia="ru-RU"/>
    </w:rPr>
  </w:style>
  <w:style w:type="paragraph" w:customStyle="1" w:styleId="Базовый">
    <w:name w:val="Базовый"/>
    <w:uiPriority w:val="99"/>
    <w:pPr>
      <w:spacing w:after="200" w:line="276" w:lineRule="auto"/>
    </w:pPr>
    <w:rPr>
      <w:rFonts w:ascii="Times New Roman" w:cs="Times New Roman" w:eastAsia="DejaVu Sans" w:hAnsi="Times New Roman"/>
      <w:sz w:val="24"/>
      <w:szCs w:val="24"/>
    </w:rPr>
  </w:style>
  <w:style w:type="character" w:customStyle="1" w:styleId="Интернет-ссылка">
    <w:name w:val="Интернет-ссылка"/>
    <w:uiPriority w:val="99"/>
    <w:rPr>
      <w:color w:val="0000ff"/>
      <w:u w:val="single"/>
      <w:lang w:val="ru-RU" w:bidi="ru-RU" w:eastAsia="ru-RU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16"/>
      <w:szCs w:val="16"/>
    </w:rPr>
  </w:style>
  <w:style w:type="paragraph" w:styleId="Annotationtext">
    <w:name w:val="Annotation text"/>
    <w:basedOn w:val="Normal"/>
    <w:link w:val="ТекстпримечанияЗнак"/>
    <w:uiPriority w:val="99"/>
    <w:semiHidden w:val="on"/>
    <w:unhideWhenUsed w:val="on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customStyle="1" w:styleId="ТекстпримечанияЗнак">
    <w:name w:val="Текст примечания Знак"/>
    <w:basedOn w:val="DefaultParagraphFont"/>
    <w:link w:val="Annotationtext"/>
    <w:uiPriority w:val="99"/>
    <w:semiHidden w:val="on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semiHidden w:val="on"/>
    <w:unhideWhenUsed w:val="on"/>
    <w:rPr>
      <w:b/>
      <w:bCs/>
    </w:rPr>
  </w:style>
  <w:style w:type="character" w:customStyle="1" w:styleId="ТемапримечанияЗнак">
    <w:name w:val="Тема примечания Знак"/>
    <w:basedOn w:val="ТекстпримечанияЗнак"/>
    <w:link w:val="Annotationsubject"/>
    <w:uiPriority w:val="99"/>
    <w:semiHidden w:val="on"/>
    <w:rPr>
      <w:rFonts w:ascii="Times New Roman" w:cs="Times New Roman" w:eastAsia="Times New Roman" w:hAnsi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BodyText"/>
    <w:uiPriority w:val="1"/>
    <w:qFormat w:val="on"/>
    <w:pPr>
      <w:keepNext w:val="on"/>
      <w:numPr>
        <w:ilvl w:val="0"/>
        <w:numId w:val="8"/>
      </w:numPr>
      <w:spacing w:after="120" w:line="240" w:lineRule="auto"/>
      <w:jc w:val="left"/>
    </w:pPr>
    <w:rPr>
      <w:rFonts w:ascii="Calibri" w:cstheme="minorBidi" w:eastAsia="FrutigerLTStd-Light" w:hAnsi="Calibri"/>
      <w:sz w:val="20"/>
      <w:lang w:val="en-US"/>
    </w:rPr>
  </w:style>
  <w:style w:type="character" w:customStyle="1" w:styleId="Основнойтекст(14)_">
    <w:name w:val="Основной текст (14)_"/>
    <w:basedOn w:val="DefaultParagraphFont"/>
    <w:link w:val="Основнойтекст(14)_3"/>
    <w:uiPriority w:val="99"/>
    <w:rPr>
      <w:rFonts w:ascii="Segoe UI" w:cs="Segoe UI" w:eastAsia="Segoe UI" w:hAnsi="Segoe UI"/>
      <w:sz w:val="19"/>
      <w:szCs w:val="19"/>
      <w:shd w:val="clear" w:color="auto" w:fill="ffffff"/>
    </w:rPr>
  </w:style>
  <w:style w:type="paragraph" w:customStyle="1" w:styleId="Основнойтекст(14)_3">
    <w:name w:val="Основной текст (14)_3"/>
    <w:basedOn w:val="Normal"/>
    <w:link w:val="Основнойтекст(14)_"/>
    <w:uiPriority w:val="99"/>
    <w:pPr>
      <w:widowControl w:val="off"/>
      <w:shd w:val="clear" w:color="auto" w:fill="ffffff"/>
      <w:spacing w:after="0" w:line="264" w:lineRule="exact"/>
      <w:ind w:hanging="600"/>
    </w:pPr>
    <w:rPr>
      <w:rFonts w:ascii="Segoe UI" w:cs="Segoe UI" w:eastAsia="Segoe UI" w:hAnsi="Segoe UI"/>
      <w:sz w:val="19"/>
      <w:szCs w:val="19"/>
    </w:rPr>
  </w:style>
  <w:style w:type="character" w:customStyle="1" w:styleId="Неразрешенноеупоминание1">
    <w:name w:val="Неразрешенное упоминание1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customStyle="1" w:styleId="Неразрешенноеупоминание2">
    <w:name w:val="Неразрешенное упоминание2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7" Type="http://schemas.openxmlformats.org/officeDocument/2006/relationships/image" Target="media/image2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2" Type="http://schemas.openxmlformats.org/officeDocument/2006/relationships/image" Target="media/image10.png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A3EAD-2062-496A-A6E0-E1F534D2C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5875</Words>
  <Characters>33493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Гончарова Татьяна Викторовна</cp:lastModifiedBy>
</cp:coreProperties>
</file>