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F8F79" w14:textId="531714E5" w:rsidR="009C7313" w:rsidRDefault="009C7313">
      <w:r>
        <w:t>Glenn Rice</w:t>
      </w:r>
    </w:p>
    <w:p w14:paraId="2F278F90" w14:textId="1CD1505F" w:rsidR="009C7313" w:rsidRDefault="009C7313">
      <w:r>
        <w:t>Major: Supply Chain Management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505"/>
        <w:gridCol w:w="5940"/>
      </w:tblGrid>
      <w:tr w:rsidR="00C069D6" w:rsidRPr="00A21F51" w14:paraId="6A57BB81" w14:textId="77777777" w:rsidTr="00045437">
        <w:tc>
          <w:tcPr>
            <w:tcW w:w="3505" w:type="dxa"/>
          </w:tcPr>
          <w:p w14:paraId="3DABDE33" w14:textId="7055D4D0" w:rsidR="00C069D6" w:rsidRPr="00C069D6" w:rsidRDefault="00C069D6" w:rsidP="00EF1D7A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AREAS OF RISK</w:t>
            </w:r>
          </w:p>
        </w:tc>
        <w:tc>
          <w:tcPr>
            <w:tcW w:w="5940" w:type="dxa"/>
          </w:tcPr>
          <w:p w14:paraId="05781203" w14:textId="5B9F9CDF" w:rsidR="00C069D6" w:rsidRPr="00C069D6" w:rsidRDefault="00C069D6" w:rsidP="00EF1D7A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STEPS TO TAKE</w:t>
            </w:r>
          </w:p>
        </w:tc>
      </w:tr>
      <w:tr w:rsidR="006B5F10" w:rsidRPr="00A21F51" w14:paraId="5449FABD" w14:textId="77777777" w:rsidTr="00045437">
        <w:tc>
          <w:tcPr>
            <w:tcW w:w="3505" w:type="dxa"/>
          </w:tcPr>
          <w:p w14:paraId="261DC296" w14:textId="6C8BB0E0" w:rsidR="00B6092A" w:rsidRPr="00A21F51" w:rsidRDefault="00B6092A" w:rsidP="00EF1D7A">
            <w:pPr>
              <w:spacing w:line="360" w:lineRule="auto"/>
              <w:rPr>
                <w:sz w:val="24"/>
                <w:szCs w:val="24"/>
              </w:rPr>
            </w:pPr>
            <w:r w:rsidRPr="00C069D6">
              <w:rPr>
                <w:b/>
                <w:bCs/>
                <w:sz w:val="24"/>
                <w:szCs w:val="24"/>
              </w:rPr>
              <w:t>Portability Trap</w:t>
            </w:r>
            <w:r>
              <w:rPr>
                <w:sz w:val="24"/>
                <w:szCs w:val="24"/>
              </w:rPr>
              <w:t xml:space="preserve"> </w:t>
            </w:r>
            <w:r w:rsidR="008C7FD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C069D6">
              <w:rPr>
                <w:sz w:val="24"/>
                <w:szCs w:val="24"/>
              </w:rPr>
              <w:t>Gebru</w:t>
            </w:r>
            <w:r w:rsidR="008C7FDB">
              <w:rPr>
                <w:sz w:val="24"/>
                <w:szCs w:val="24"/>
              </w:rPr>
              <w:t>/Denton Lecture</w:t>
            </w:r>
          </w:p>
        </w:tc>
        <w:tc>
          <w:tcPr>
            <w:tcW w:w="5940" w:type="dxa"/>
          </w:tcPr>
          <w:p w14:paraId="5EBEAEEF" w14:textId="05543E63" w:rsidR="006B5F10" w:rsidRPr="00A21F51" w:rsidRDefault="00224A6D" w:rsidP="00EF1D7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Because the field of supply chain is so diverse </w:t>
            </w:r>
            <w:r w:rsidR="005D5882">
              <w:rPr>
                <w:sz w:val="24"/>
                <w:szCs w:val="24"/>
              </w:rPr>
              <w:t xml:space="preserve">and unique, it is vital that </w:t>
            </w:r>
            <w:r w:rsidR="001D081A">
              <w:rPr>
                <w:sz w:val="24"/>
                <w:szCs w:val="24"/>
              </w:rPr>
              <w:t>I do not fall for the portability trap</w:t>
            </w:r>
            <w:r w:rsidR="00E27521">
              <w:rPr>
                <w:sz w:val="24"/>
                <w:szCs w:val="24"/>
              </w:rPr>
              <w:t>. Just because one method of AI works well for a specific situation does not mean that it will have the same level of effectiveness for another situation that I encounter.</w:t>
            </w:r>
            <w:r w:rsidR="00DC7B38">
              <w:rPr>
                <w:sz w:val="24"/>
                <w:szCs w:val="24"/>
              </w:rPr>
              <w:t xml:space="preserve"> If I am planning on recycling a process from another project, I must make sure that all components </w:t>
            </w:r>
            <w:r w:rsidR="00BC298D">
              <w:rPr>
                <w:sz w:val="24"/>
                <w:szCs w:val="24"/>
              </w:rPr>
              <w:t xml:space="preserve">are compatible. If they are not, I must adjust or omit certain aspects to make sure that I am getting the most </w:t>
            </w:r>
            <w:r w:rsidR="00A167D7">
              <w:rPr>
                <w:sz w:val="24"/>
                <w:szCs w:val="24"/>
              </w:rPr>
              <w:t>out of the process.</w:t>
            </w:r>
          </w:p>
        </w:tc>
      </w:tr>
      <w:tr w:rsidR="00817350" w:rsidRPr="00A21F51" w14:paraId="24151D31" w14:textId="77777777" w:rsidTr="00045437">
        <w:tc>
          <w:tcPr>
            <w:tcW w:w="3505" w:type="dxa"/>
          </w:tcPr>
          <w:p w14:paraId="569E99B4" w14:textId="37BFBBA3" w:rsidR="00817350" w:rsidRPr="0062296E" w:rsidRDefault="00817350" w:rsidP="00EF1D7A">
            <w:p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Solutionism</w:t>
            </w:r>
            <w:r w:rsidR="0062296E">
              <w:rPr>
                <w:b/>
                <w:bCs/>
                <w:sz w:val="24"/>
                <w:szCs w:val="24"/>
              </w:rPr>
              <w:t xml:space="preserve"> Trap </w:t>
            </w:r>
            <w:r w:rsidR="008C7FDB">
              <w:rPr>
                <w:sz w:val="24"/>
                <w:szCs w:val="24"/>
              </w:rPr>
              <w:t>–</w:t>
            </w:r>
            <w:r w:rsidR="0062296E">
              <w:rPr>
                <w:sz w:val="24"/>
                <w:szCs w:val="24"/>
              </w:rPr>
              <w:t xml:space="preserve"> Gebru</w:t>
            </w:r>
            <w:r w:rsidR="008C7FDB">
              <w:rPr>
                <w:sz w:val="24"/>
                <w:szCs w:val="24"/>
              </w:rPr>
              <w:t>/Denton Lecture</w:t>
            </w:r>
          </w:p>
        </w:tc>
        <w:tc>
          <w:tcPr>
            <w:tcW w:w="5940" w:type="dxa"/>
          </w:tcPr>
          <w:p w14:paraId="1D7B73C5" w14:textId="0FEBBB64" w:rsidR="00817350" w:rsidRDefault="00EE79FF" w:rsidP="00EF1D7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Sometimes </w:t>
            </w:r>
            <w:r w:rsidR="002854B0">
              <w:rPr>
                <w:sz w:val="24"/>
                <w:szCs w:val="24"/>
              </w:rPr>
              <w:t>when working with AI, the first thing that you need to do is ask: Should we even be doing this in the first place?</w:t>
            </w:r>
            <w:r w:rsidR="00414B72">
              <w:rPr>
                <w:sz w:val="24"/>
                <w:szCs w:val="24"/>
              </w:rPr>
              <w:t xml:space="preserve"> </w:t>
            </w:r>
            <w:r w:rsidR="008E196D">
              <w:rPr>
                <w:sz w:val="24"/>
                <w:szCs w:val="24"/>
              </w:rPr>
              <w:t xml:space="preserve">Supply chain is a very data analytic driven </w:t>
            </w:r>
            <w:r w:rsidR="003E399D">
              <w:rPr>
                <w:sz w:val="24"/>
                <w:szCs w:val="24"/>
              </w:rPr>
              <w:t>field, but sometimes there are</w:t>
            </w:r>
            <w:r w:rsidR="00A05500">
              <w:rPr>
                <w:sz w:val="24"/>
                <w:szCs w:val="24"/>
              </w:rPr>
              <w:t xml:space="preserve"> only things that humans can do. One </w:t>
            </w:r>
            <w:r w:rsidR="001F200F">
              <w:rPr>
                <w:sz w:val="24"/>
                <w:szCs w:val="24"/>
              </w:rPr>
              <w:t xml:space="preserve">example that I can think of is during my internship over the summer, the manufacturing facility that I was working at has already implemented a </w:t>
            </w:r>
            <w:r w:rsidR="00782876">
              <w:rPr>
                <w:sz w:val="24"/>
                <w:szCs w:val="24"/>
              </w:rPr>
              <w:t xml:space="preserve">large amount of AI into their processes. </w:t>
            </w:r>
            <w:r w:rsidR="005C1755">
              <w:rPr>
                <w:sz w:val="24"/>
                <w:szCs w:val="24"/>
              </w:rPr>
              <w:t xml:space="preserve">One thing that they have are </w:t>
            </w:r>
            <w:r w:rsidR="00BD5A85">
              <w:rPr>
                <w:sz w:val="24"/>
                <w:szCs w:val="24"/>
              </w:rPr>
              <w:t>self-driving</w:t>
            </w:r>
            <w:r w:rsidR="005C1755">
              <w:rPr>
                <w:sz w:val="24"/>
                <w:szCs w:val="24"/>
              </w:rPr>
              <w:t xml:space="preserve"> forklifts. </w:t>
            </w:r>
            <w:r w:rsidR="00553958">
              <w:rPr>
                <w:sz w:val="24"/>
                <w:szCs w:val="24"/>
              </w:rPr>
              <w:t xml:space="preserve">The forklifts </w:t>
            </w:r>
            <w:r w:rsidR="00124448">
              <w:rPr>
                <w:sz w:val="24"/>
                <w:szCs w:val="24"/>
              </w:rPr>
              <w:t xml:space="preserve">picked a pallet of glue from the raw materials warehouse, dropped it off to </w:t>
            </w:r>
            <w:r w:rsidR="00554F3A">
              <w:rPr>
                <w:sz w:val="24"/>
                <w:szCs w:val="24"/>
              </w:rPr>
              <w:t xml:space="preserve">a line, where it got used on the line. Unfortunately, it was the incorrect glue, </w:t>
            </w:r>
            <w:r w:rsidR="00E51327">
              <w:rPr>
                <w:sz w:val="24"/>
                <w:szCs w:val="24"/>
              </w:rPr>
              <w:t xml:space="preserve">sort of. The AI forklift did </w:t>
            </w:r>
            <w:r w:rsidR="00BE689A">
              <w:rPr>
                <w:sz w:val="24"/>
                <w:szCs w:val="24"/>
              </w:rPr>
              <w:t>its</w:t>
            </w:r>
            <w:r w:rsidR="00E51327">
              <w:rPr>
                <w:sz w:val="24"/>
                <w:szCs w:val="24"/>
              </w:rPr>
              <w:t xml:space="preserve"> job perfectly, but the label </w:t>
            </w:r>
            <w:r w:rsidR="00AF107F">
              <w:rPr>
                <w:sz w:val="24"/>
                <w:szCs w:val="24"/>
              </w:rPr>
              <w:t xml:space="preserve">that was scanned to identify the glue was incorrect. </w:t>
            </w:r>
            <w:r w:rsidR="00BE689A">
              <w:rPr>
                <w:sz w:val="24"/>
                <w:szCs w:val="24"/>
              </w:rPr>
              <w:t>The glue</w:t>
            </w:r>
            <w:r w:rsidR="00AF107F">
              <w:rPr>
                <w:sz w:val="24"/>
                <w:szCs w:val="24"/>
              </w:rPr>
              <w:t xml:space="preserve"> was the wrong color</w:t>
            </w:r>
            <w:r w:rsidR="005E7A5A">
              <w:rPr>
                <w:sz w:val="24"/>
                <w:szCs w:val="24"/>
              </w:rPr>
              <w:t xml:space="preserve"> – so any human could have easily recognized that the label on the glue was not correct.</w:t>
            </w:r>
            <w:r w:rsidR="00C303E7">
              <w:rPr>
                <w:sz w:val="24"/>
                <w:szCs w:val="24"/>
              </w:rPr>
              <w:t xml:space="preserve"> Sometimes human discernment is needed in specific </w:t>
            </w:r>
            <w:r w:rsidR="00472605">
              <w:rPr>
                <w:sz w:val="24"/>
                <w:szCs w:val="24"/>
              </w:rPr>
              <w:t>tasks.</w:t>
            </w:r>
          </w:p>
        </w:tc>
      </w:tr>
      <w:tr w:rsidR="005B5953" w:rsidRPr="00A21F51" w14:paraId="2EE16B4A" w14:textId="77777777" w:rsidTr="00045437">
        <w:tc>
          <w:tcPr>
            <w:tcW w:w="3505" w:type="dxa"/>
          </w:tcPr>
          <w:p w14:paraId="0DD531F7" w14:textId="149F07AF" w:rsidR="005B5953" w:rsidRPr="00A60288" w:rsidRDefault="00A60288" w:rsidP="00EF1D7A">
            <w:p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Human Alternatives, Consideration, and Fallback</w:t>
            </w:r>
            <w:r>
              <w:rPr>
                <w:sz w:val="24"/>
                <w:szCs w:val="24"/>
              </w:rPr>
              <w:t xml:space="preserve"> – AI Bill of Rights</w:t>
            </w:r>
          </w:p>
        </w:tc>
        <w:tc>
          <w:tcPr>
            <w:tcW w:w="5940" w:type="dxa"/>
          </w:tcPr>
          <w:p w14:paraId="46EA8AF3" w14:textId="7B9FEA5B" w:rsidR="005B5953" w:rsidRDefault="00CB201E" w:rsidP="00EF1D7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common automated process in </w:t>
            </w:r>
            <w:r w:rsidR="00803317">
              <w:rPr>
                <w:sz w:val="24"/>
                <w:szCs w:val="24"/>
              </w:rPr>
              <w:t>supply chain are VMI reports (Vendor Managed Inventory)</w:t>
            </w:r>
            <w:r w:rsidR="00314C65">
              <w:rPr>
                <w:sz w:val="24"/>
                <w:szCs w:val="24"/>
              </w:rPr>
              <w:t>. While automating VMI reports would be</w:t>
            </w:r>
            <w:r w:rsidR="00E82253">
              <w:rPr>
                <w:sz w:val="24"/>
                <w:szCs w:val="24"/>
              </w:rPr>
              <w:t xml:space="preserve"> a good choice</w:t>
            </w:r>
            <w:r w:rsidR="00083081">
              <w:rPr>
                <w:sz w:val="24"/>
                <w:szCs w:val="24"/>
              </w:rPr>
              <w:t xml:space="preserve"> because they need to be sent to suppliers daily and have a very strict process</w:t>
            </w:r>
            <w:r w:rsidR="00B32D5E">
              <w:rPr>
                <w:sz w:val="24"/>
                <w:szCs w:val="24"/>
              </w:rPr>
              <w:t xml:space="preserve">, there can sometimes be errors when pulling information from various </w:t>
            </w:r>
            <w:r w:rsidR="00583E98">
              <w:rPr>
                <w:sz w:val="24"/>
                <w:szCs w:val="24"/>
              </w:rPr>
              <w:t xml:space="preserve">software services </w:t>
            </w:r>
            <w:r w:rsidR="00B32D5E">
              <w:rPr>
                <w:sz w:val="24"/>
                <w:szCs w:val="24"/>
              </w:rPr>
              <w:t xml:space="preserve">and </w:t>
            </w:r>
            <w:r w:rsidR="00583E98">
              <w:rPr>
                <w:sz w:val="24"/>
                <w:szCs w:val="24"/>
              </w:rPr>
              <w:t>consolidat</w:t>
            </w:r>
            <w:r w:rsidR="00443779">
              <w:rPr>
                <w:sz w:val="24"/>
                <w:szCs w:val="24"/>
              </w:rPr>
              <w:t xml:space="preserve">ing </w:t>
            </w:r>
            <w:r w:rsidR="00583E98">
              <w:rPr>
                <w:sz w:val="24"/>
                <w:szCs w:val="24"/>
              </w:rPr>
              <w:t xml:space="preserve">them into one file. </w:t>
            </w:r>
            <w:r w:rsidR="0065460F">
              <w:rPr>
                <w:sz w:val="24"/>
                <w:szCs w:val="24"/>
              </w:rPr>
              <w:t xml:space="preserve">Because of these errors/bugs that sometimes happen, it is imperative that </w:t>
            </w:r>
            <w:r w:rsidR="007A1982">
              <w:rPr>
                <w:sz w:val="24"/>
                <w:szCs w:val="24"/>
              </w:rPr>
              <w:t xml:space="preserve">a supplier has a human alternative/fallback to contact and </w:t>
            </w:r>
            <w:r w:rsidR="004B4534">
              <w:rPr>
                <w:sz w:val="24"/>
                <w:szCs w:val="24"/>
              </w:rPr>
              <w:t>confirm automated data if needed.</w:t>
            </w:r>
            <w:r w:rsidR="004E4B24">
              <w:rPr>
                <w:sz w:val="24"/>
                <w:szCs w:val="24"/>
              </w:rPr>
              <w:t xml:space="preserve"> If there is no fallback, </w:t>
            </w:r>
            <w:r w:rsidR="00F3240B">
              <w:rPr>
                <w:sz w:val="24"/>
                <w:szCs w:val="24"/>
              </w:rPr>
              <w:t xml:space="preserve">a manufacturer can be </w:t>
            </w:r>
            <w:proofErr w:type="gramStart"/>
            <w:r w:rsidR="00F3240B">
              <w:rPr>
                <w:sz w:val="24"/>
                <w:szCs w:val="24"/>
              </w:rPr>
              <w:t>shorted</w:t>
            </w:r>
            <w:proofErr w:type="gramEnd"/>
            <w:r w:rsidR="00DD5CBF">
              <w:rPr>
                <w:sz w:val="24"/>
                <w:szCs w:val="24"/>
              </w:rPr>
              <w:t xml:space="preserve"> of</w:t>
            </w:r>
            <w:r w:rsidR="00F3240B">
              <w:rPr>
                <w:sz w:val="24"/>
                <w:szCs w:val="24"/>
              </w:rPr>
              <w:t xml:space="preserve"> raw material</w:t>
            </w:r>
            <w:r w:rsidR="00DD5CBF">
              <w:rPr>
                <w:sz w:val="24"/>
                <w:szCs w:val="24"/>
              </w:rPr>
              <w:t>s</w:t>
            </w:r>
            <w:r w:rsidR="00F3240B">
              <w:rPr>
                <w:sz w:val="24"/>
                <w:szCs w:val="24"/>
              </w:rPr>
              <w:t xml:space="preserve">, resulting in hundreds of thousands of </w:t>
            </w:r>
            <w:r w:rsidR="007A4BA8">
              <w:rPr>
                <w:sz w:val="24"/>
                <w:szCs w:val="24"/>
              </w:rPr>
              <w:t xml:space="preserve">dollars in wasted runtime. </w:t>
            </w:r>
          </w:p>
        </w:tc>
      </w:tr>
      <w:tr w:rsidR="00741617" w:rsidRPr="00A21F51" w14:paraId="4AB3B317" w14:textId="77777777" w:rsidTr="00045437">
        <w:tc>
          <w:tcPr>
            <w:tcW w:w="3505" w:type="dxa"/>
          </w:tcPr>
          <w:p w14:paraId="552CF87E" w14:textId="08D65223" w:rsidR="00741617" w:rsidRPr="005B6DF0" w:rsidRDefault="005B6DF0" w:rsidP="00EF1D7A">
            <w:p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Hiring Bias </w:t>
            </w:r>
            <w:r w:rsidR="00FA1E12">
              <w:rPr>
                <w:b/>
                <w:bCs/>
                <w:sz w:val="24"/>
                <w:szCs w:val="24"/>
              </w:rPr>
              <w:t>–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FA1E12" w:rsidRPr="00FA1E12">
              <w:rPr>
                <w:sz w:val="24"/>
                <w:szCs w:val="24"/>
              </w:rPr>
              <w:t>EEOC-DOJ</w:t>
            </w:r>
          </w:p>
        </w:tc>
        <w:tc>
          <w:tcPr>
            <w:tcW w:w="5940" w:type="dxa"/>
          </w:tcPr>
          <w:p w14:paraId="3945ED77" w14:textId="339E96D3" w:rsidR="00741617" w:rsidRDefault="00FA1E12" w:rsidP="00EF1D7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heightened </w:t>
            </w:r>
            <w:r w:rsidR="005E4914">
              <w:rPr>
                <w:sz w:val="24"/>
                <w:szCs w:val="24"/>
              </w:rPr>
              <w:t xml:space="preserve">use of AI when screening applications </w:t>
            </w:r>
            <w:proofErr w:type="gramStart"/>
            <w:r w:rsidR="005E4914">
              <w:rPr>
                <w:sz w:val="24"/>
                <w:szCs w:val="24"/>
              </w:rPr>
              <w:t>have</w:t>
            </w:r>
            <w:proofErr w:type="gramEnd"/>
            <w:r w:rsidR="005E4914">
              <w:rPr>
                <w:sz w:val="24"/>
                <w:szCs w:val="24"/>
              </w:rPr>
              <w:t xml:space="preserve"> caused a negative increase in hiring bias against </w:t>
            </w:r>
            <w:r w:rsidR="0085688C">
              <w:rPr>
                <w:sz w:val="24"/>
                <w:szCs w:val="24"/>
              </w:rPr>
              <w:t xml:space="preserve">people with disabilities. The best way to combat this is to take a deep dive into the </w:t>
            </w:r>
            <w:r w:rsidR="00DD5CBF">
              <w:rPr>
                <w:sz w:val="24"/>
                <w:szCs w:val="24"/>
              </w:rPr>
              <w:t>model</w:t>
            </w:r>
            <w:r w:rsidR="0085688C">
              <w:rPr>
                <w:sz w:val="24"/>
                <w:szCs w:val="24"/>
              </w:rPr>
              <w:t xml:space="preserve"> </w:t>
            </w:r>
            <w:r w:rsidR="00954370">
              <w:rPr>
                <w:sz w:val="24"/>
                <w:szCs w:val="24"/>
              </w:rPr>
              <w:t xml:space="preserve">logic to see what words/phrases are triggering the AI to throw out applications, and determine what </w:t>
            </w:r>
            <w:r w:rsidR="00144105">
              <w:rPr>
                <w:sz w:val="24"/>
                <w:szCs w:val="24"/>
              </w:rPr>
              <w:t>triggers need to stay and what triggers need to go. Once th</w:t>
            </w:r>
            <w:r w:rsidR="002856DC">
              <w:rPr>
                <w:sz w:val="24"/>
                <w:szCs w:val="24"/>
              </w:rPr>
              <w:t>o</w:t>
            </w:r>
            <w:r w:rsidR="00144105">
              <w:rPr>
                <w:sz w:val="24"/>
                <w:szCs w:val="24"/>
              </w:rPr>
              <w:t xml:space="preserve">se are identified, </w:t>
            </w:r>
            <w:r w:rsidR="00AC3250">
              <w:rPr>
                <w:sz w:val="24"/>
                <w:szCs w:val="24"/>
              </w:rPr>
              <w:t xml:space="preserve">necessary action needs to be </w:t>
            </w:r>
            <w:r w:rsidR="00AB58A7">
              <w:rPr>
                <w:sz w:val="24"/>
                <w:szCs w:val="24"/>
              </w:rPr>
              <w:t>taken</w:t>
            </w:r>
            <w:r w:rsidR="002B3D09">
              <w:rPr>
                <w:sz w:val="24"/>
                <w:szCs w:val="24"/>
              </w:rPr>
              <w:t xml:space="preserve"> to improve the negative hiring bias against </w:t>
            </w:r>
            <w:r w:rsidR="006D4436">
              <w:rPr>
                <w:sz w:val="24"/>
                <w:szCs w:val="24"/>
              </w:rPr>
              <w:t>people with disabilities.</w:t>
            </w:r>
          </w:p>
        </w:tc>
      </w:tr>
      <w:tr w:rsidR="006D4436" w:rsidRPr="00A21F51" w14:paraId="76DBF14F" w14:textId="77777777" w:rsidTr="00045437">
        <w:tc>
          <w:tcPr>
            <w:tcW w:w="3505" w:type="dxa"/>
          </w:tcPr>
          <w:p w14:paraId="7793260A" w14:textId="2AF8DF16" w:rsidR="006D4436" w:rsidRPr="00C247ED" w:rsidRDefault="00C247ED" w:rsidP="00EF1D7A">
            <w:p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Data Requirements </w:t>
            </w:r>
            <w:r w:rsidR="00C87906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C87906">
              <w:rPr>
                <w:sz w:val="24"/>
                <w:szCs w:val="24"/>
              </w:rPr>
              <w:t>EU AI Act</w:t>
            </w:r>
          </w:p>
        </w:tc>
        <w:tc>
          <w:tcPr>
            <w:tcW w:w="5940" w:type="dxa"/>
          </w:tcPr>
          <w:p w14:paraId="6327545A" w14:textId="0F976B1B" w:rsidR="006D4436" w:rsidRDefault="00DC158E" w:rsidP="00EF1D7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</w:t>
            </w:r>
            <w:r w:rsidR="00D76AAC">
              <w:rPr>
                <w:sz w:val="24"/>
                <w:szCs w:val="24"/>
              </w:rPr>
              <w:t>creating models</w:t>
            </w:r>
            <w:r>
              <w:rPr>
                <w:sz w:val="24"/>
                <w:szCs w:val="24"/>
              </w:rPr>
              <w:t xml:space="preserve"> </w:t>
            </w:r>
            <w:r w:rsidR="00A217B7">
              <w:rPr>
                <w:sz w:val="24"/>
                <w:szCs w:val="24"/>
              </w:rPr>
              <w:t xml:space="preserve">within supply chain, </w:t>
            </w:r>
            <w:r w:rsidR="00D76AAC">
              <w:rPr>
                <w:sz w:val="24"/>
                <w:szCs w:val="24"/>
              </w:rPr>
              <w:t>we must ensure that the data</w:t>
            </w:r>
            <w:r w:rsidR="00813403">
              <w:rPr>
                <w:sz w:val="24"/>
                <w:szCs w:val="24"/>
              </w:rPr>
              <w:t xml:space="preserve"> sources that we use are thoroughly documented to </w:t>
            </w:r>
            <w:r w:rsidR="00475261">
              <w:rPr>
                <w:sz w:val="24"/>
                <w:szCs w:val="24"/>
              </w:rPr>
              <w:t xml:space="preserve">establish and prove reliability/accuracy. </w:t>
            </w:r>
            <w:r w:rsidR="00D201B3">
              <w:rPr>
                <w:sz w:val="24"/>
                <w:szCs w:val="24"/>
              </w:rPr>
              <w:t>We must also make sure that the data has minimal bias (because there is no such thing as zero bias unfortunately)</w:t>
            </w:r>
            <w:r w:rsidR="00714D01">
              <w:rPr>
                <w:sz w:val="24"/>
                <w:szCs w:val="24"/>
              </w:rPr>
              <w:t xml:space="preserve">, and the data can be updated as the model gets more established and older to maintain </w:t>
            </w:r>
            <w:r w:rsidR="00B26B0B">
              <w:rPr>
                <w:sz w:val="24"/>
                <w:szCs w:val="24"/>
              </w:rPr>
              <w:t>its</w:t>
            </w:r>
            <w:r w:rsidR="00714D01">
              <w:rPr>
                <w:sz w:val="24"/>
                <w:szCs w:val="24"/>
              </w:rPr>
              <w:t xml:space="preserve"> relevancy.</w:t>
            </w:r>
          </w:p>
        </w:tc>
      </w:tr>
    </w:tbl>
    <w:p w14:paraId="4C310456" w14:textId="77777777" w:rsidR="00640047" w:rsidRPr="00BD607C" w:rsidRDefault="00640047" w:rsidP="00A21F51">
      <w:pPr>
        <w:spacing w:line="360" w:lineRule="auto"/>
        <w:rPr>
          <w:sz w:val="24"/>
          <w:szCs w:val="24"/>
        </w:rPr>
      </w:pPr>
    </w:p>
    <w:sectPr w:rsidR="00640047" w:rsidRPr="00BD607C" w:rsidSect="00640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BE"/>
    <w:rsid w:val="00045437"/>
    <w:rsid w:val="00083081"/>
    <w:rsid w:val="000D6966"/>
    <w:rsid w:val="001101B4"/>
    <w:rsid w:val="00124448"/>
    <w:rsid w:val="00144105"/>
    <w:rsid w:val="001A6578"/>
    <w:rsid w:val="001D081A"/>
    <w:rsid w:val="001F200F"/>
    <w:rsid w:val="00224A6D"/>
    <w:rsid w:val="002357A7"/>
    <w:rsid w:val="00281C49"/>
    <w:rsid w:val="002854B0"/>
    <w:rsid w:val="002856DC"/>
    <w:rsid w:val="002B3D09"/>
    <w:rsid w:val="00314C65"/>
    <w:rsid w:val="00316DA2"/>
    <w:rsid w:val="003E399D"/>
    <w:rsid w:val="00414B72"/>
    <w:rsid w:val="00443779"/>
    <w:rsid w:val="00467986"/>
    <w:rsid w:val="00472605"/>
    <w:rsid w:val="00475261"/>
    <w:rsid w:val="00492DC7"/>
    <w:rsid w:val="004B4534"/>
    <w:rsid w:val="004C78F7"/>
    <w:rsid w:val="004E4B24"/>
    <w:rsid w:val="00553958"/>
    <w:rsid w:val="00554F3A"/>
    <w:rsid w:val="00583E98"/>
    <w:rsid w:val="005A5C16"/>
    <w:rsid w:val="005B5953"/>
    <w:rsid w:val="005B6DF0"/>
    <w:rsid w:val="005C1755"/>
    <w:rsid w:val="005D5882"/>
    <w:rsid w:val="005E4914"/>
    <w:rsid w:val="005E7A5A"/>
    <w:rsid w:val="0062296E"/>
    <w:rsid w:val="00640047"/>
    <w:rsid w:val="0065460F"/>
    <w:rsid w:val="006B5F10"/>
    <w:rsid w:val="006D4436"/>
    <w:rsid w:val="00714D01"/>
    <w:rsid w:val="007317BE"/>
    <w:rsid w:val="00741617"/>
    <w:rsid w:val="00744D11"/>
    <w:rsid w:val="00782876"/>
    <w:rsid w:val="007A1982"/>
    <w:rsid w:val="007A4BA8"/>
    <w:rsid w:val="007E64BB"/>
    <w:rsid w:val="00803317"/>
    <w:rsid w:val="00813403"/>
    <w:rsid w:val="00817350"/>
    <w:rsid w:val="0085688C"/>
    <w:rsid w:val="00883DAE"/>
    <w:rsid w:val="008C7FDB"/>
    <w:rsid w:val="008E196D"/>
    <w:rsid w:val="008E23F4"/>
    <w:rsid w:val="00902E2E"/>
    <w:rsid w:val="00954370"/>
    <w:rsid w:val="009C7313"/>
    <w:rsid w:val="00A05500"/>
    <w:rsid w:val="00A167D7"/>
    <w:rsid w:val="00A217B7"/>
    <w:rsid w:val="00A21F51"/>
    <w:rsid w:val="00A60288"/>
    <w:rsid w:val="00A66E16"/>
    <w:rsid w:val="00A959E6"/>
    <w:rsid w:val="00AB58A7"/>
    <w:rsid w:val="00AC3250"/>
    <w:rsid w:val="00AE24FD"/>
    <w:rsid w:val="00AF107F"/>
    <w:rsid w:val="00B02B73"/>
    <w:rsid w:val="00B26B0B"/>
    <w:rsid w:val="00B3256A"/>
    <w:rsid w:val="00B32D5E"/>
    <w:rsid w:val="00B52270"/>
    <w:rsid w:val="00B6092A"/>
    <w:rsid w:val="00BC298D"/>
    <w:rsid w:val="00BD5A85"/>
    <w:rsid w:val="00BD607C"/>
    <w:rsid w:val="00BE689A"/>
    <w:rsid w:val="00C069D6"/>
    <w:rsid w:val="00C247ED"/>
    <w:rsid w:val="00C303E7"/>
    <w:rsid w:val="00C87906"/>
    <w:rsid w:val="00CA56FE"/>
    <w:rsid w:val="00CB201E"/>
    <w:rsid w:val="00CB7CAB"/>
    <w:rsid w:val="00D01C26"/>
    <w:rsid w:val="00D201B3"/>
    <w:rsid w:val="00D277FB"/>
    <w:rsid w:val="00D76AAC"/>
    <w:rsid w:val="00DC158E"/>
    <w:rsid w:val="00DC7B38"/>
    <w:rsid w:val="00DD5CBF"/>
    <w:rsid w:val="00E079CE"/>
    <w:rsid w:val="00E27521"/>
    <w:rsid w:val="00E51327"/>
    <w:rsid w:val="00E82253"/>
    <w:rsid w:val="00EE79FF"/>
    <w:rsid w:val="00EF758B"/>
    <w:rsid w:val="00F3240B"/>
    <w:rsid w:val="00F874D6"/>
    <w:rsid w:val="00FA1E12"/>
    <w:rsid w:val="00FE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88E92"/>
  <w15:chartTrackingRefBased/>
  <w15:docId w15:val="{BBEAF7D1-4345-452B-BBAF-80407BB9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2964</TotalTime>
  <Pages>2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Rice</dc:creator>
  <cp:keywords/>
  <dc:description/>
  <cp:lastModifiedBy>Glenn Rice</cp:lastModifiedBy>
  <cp:revision>105</cp:revision>
  <dcterms:created xsi:type="dcterms:W3CDTF">2023-09-06T14:26:00Z</dcterms:created>
  <dcterms:modified xsi:type="dcterms:W3CDTF">2023-09-11T02:31:00Z</dcterms:modified>
</cp:coreProperties>
</file>