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0D6CFA">
        <w:rPr>
          <w:rFonts w:ascii="Arial" w:hAnsi="Arial" w:cs="Arial"/>
          <w:b/>
          <w:sz w:val="24"/>
          <w:szCs w:val="24"/>
          <w:lang w:val="en-US"/>
        </w:rPr>
        <w:t>BIBLIOGRAFÍA</w:t>
      </w:r>
    </w:p>
    <w:p w:rsidR="007E30E9" w:rsidRPr="000D6CFA" w:rsidRDefault="007E30E9" w:rsidP="00C54492">
      <w:pPr>
        <w:spacing w:after="0" w:line="240" w:lineRule="auto"/>
        <w:ind w:left="284" w:hanging="284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7E30E9" w:rsidRPr="000D6CFA" w:rsidRDefault="007E30E9" w:rsidP="00C54492">
      <w:pPr>
        <w:spacing w:after="0" w:line="240" w:lineRule="auto"/>
        <w:ind w:left="284" w:hanging="284"/>
        <w:jc w:val="both"/>
        <w:rPr>
          <w:rFonts w:ascii="Arial" w:hAnsi="Arial" w:cs="Arial"/>
          <w:b/>
          <w:sz w:val="24"/>
          <w:szCs w:val="24"/>
          <w:lang w:val="en-US"/>
        </w:rPr>
      </w:pPr>
    </w:p>
    <w:p w:rsidR="00C54492" w:rsidRDefault="00C54492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1D4A92">
        <w:rPr>
          <w:rFonts w:ascii="Arial" w:hAnsi="Arial" w:cs="Arial"/>
          <w:sz w:val="24"/>
          <w:szCs w:val="24"/>
          <w:lang w:val="en-US"/>
        </w:rPr>
        <w:t xml:space="preserve">Sommerville, I. (2015). </w:t>
      </w:r>
      <w:r w:rsidRPr="001D4A92">
        <w:rPr>
          <w:rFonts w:ascii="Arial" w:hAnsi="Arial" w:cs="Arial"/>
          <w:b/>
          <w:sz w:val="24"/>
          <w:szCs w:val="24"/>
          <w:lang w:val="en-US"/>
        </w:rPr>
        <w:t>Software Engineering</w:t>
      </w:r>
      <w:r w:rsidR="008976F9">
        <w:rPr>
          <w:rFonts w:ascii="Arial" w:hAnsi="Arial" w:cs="Arial"/>
          <w:sz w:val="24"/>
          <w:szCs w:val="24"/>
          <w:lang w:val="en-US"/>
        </w:rPr>
        <w:t>.</w:t>
      </w:r>
      <w:r w:rsidRPr="001D4A92">
        <w:rPr>
          <w:rFonts w:ascii="Arial" w:hAnsi="Arial" w:cs="Arial"/>
          <w:b/>
          <w:sz w:val="24"/>
          <w:szCs w:val="24"/>
          <w:lang w:val="en-US"/>
        </w:rPr>
        <w:t xml:space="preserve"> </w:t>
      </w:r>
      <w:r w:rsidR="001D4A92" w:rsidRPr="001D4A92">
        <w:rPr>
          <w:rFonts w:ascii="Arial" w:hAnsi="Arial" w:cs="Arial"/>
          <w:sz w:val="24"/>
          <w:szCs w:val="24"/>
        </w:rPr>
        <w:t>9</w:t>
      </w:r>
      <w:r w:rsidR="001D4A92" w:rsidRPr="001D4A92">
        <w:rPr>
          <w:rFonts w:ascii="Arial" w:hAnsi="Arial" w:cs="Arial"/>
          <w:sz w:val="24"/>
          <w:szCs w:val="24"/>
          <w:vertAlign w:val="superscript"/>
        </w:rPr>
        <w:t>a</w:t>
      </w:r>
      <w:r w:rsidR="001D4A92" w:rsidRPr="001D4A92"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 w:rsidR="001D4A92" w:rsidRPr="001D4A92">
        <w:rPr>
          <w:rFonts w:ascii="Arial" w:hAnsi="Arial" w:cs="Arial"/>
          <w:sz w:val="24"/>
          <w:szCs w:val="24"/>
        </w:rPr>
        <w:t xml:space="preserve"> Estados Unidos: Pearson E</w:t>
      </w:r>
      <w:r w:rsidR="001D4A92">
        <w:rPr>
          <w:rFonts w:ascii="Arial" w:hAnsi="Arial" w:cs="Arial"/>
          <w:sz w:val="24"/>
          <w:szCs w:val="24"/>
        </w:rPr>
        <w:t>ducation,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0D6CFA" w:rsidRPr="00F168B7" w:rsidRDefault="000D6CFA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 xml:space="preserve">Pressman, R. (2010). </w:t>
      </w:r>
      <w:r>
        <w:rPr>
          <w:rFonts w:ascii="Arial" w:hAnsi="Arial" w:cs="Arial"/>
          <w:b/>
          <w:sz w:val="24"/>
          <w:szCs w:val="24"/>
        </w:rPr>
        <w:t>Ingeniería del Software</w:t>
      </w:r>
      <w:r w:rsidR="008976F9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b/>
          <w:sz w:val="24"/>
          <w:szCs w:val="24"/>
        </w:rPr>
        <w:t xml:space="preserve"> Un enfoque práctico. </w:t>
      </w:r>
      <w:r>
        <w:rPr>
          <w:rFonts w:ascii="Arial" w:hAnsi="Arial" w:cs="Arial"/>
          <w:sz w:val="24"/>
          <w:szCs w:val="24"/>
        </w:rPr>
        <w:t>7</w:t>
      </w:r>
      <w:r>
        <w:rPr>
          <w:rFonts w:ascii="Arial" w:hAnsi="Arial" w:cs="Arial"/>
          <w:sz w:val="24"/>
          <w:szCs w:val="24"/>
          <w:vertAlign w:val="superscript"/>
        </w:rPr>
        <w:t>a</w:t>
      </w:r>
      <w:r>
        <w:rPr>
          <w:rFonts w:ascii="Arial" w:hAnsi="Arial" w:cs="Arial"/>
          <w:sz w:val="24"/>
          <w:szCs w:val="24"/>
        </w:rPr>
        <w:t>. Edición.</w:t>
      </w:r>
      <w:r w:rsidR="008976F9">
        <w:rPr>
          <w:rFonts w:ascii="Arial" w:hAnsi="Arial" w:cs="Arial"/>
          <w:sz w:val="24"/>
          <w:szCs w:val="24"/>
        </w:rPr>
        <w:t xml:space="preserve"> California,</w:t>
      </w:r>
      <w:r>
        <w:rPr>
          <w:rFonts w:ascii="Arial" w:hAnsi="Arial" w:cs="Arial"/>
          <w:sz w:val="24"/>
          <w:szCs w:val="24"/>
        </w:rPr>
        <w:t xml:space="preserve"> </w:t>
      </w:r>
      <w:r w:rsidRPr="00F168B7">
        <w:rPr>
          <w:rFonts w:ascii="Arial" w:hAnsi="Arial" w:cs="Arial"/>
          <w:sz w:val="24"/>
          <w:szCs w:val="24"/>
          <w:lang w:val="en-US"/>
        </w:rPr>
        <w:t>Estados Unidos: The McGraw-Hill Companies, Inc.</w:t>
      </w:r>
    </w:p>
    <w:p w:rsidR="00D3057C" w:rsidRPr="00F168B7" w:rsidRDefault="00D3057C" w:rsidP="00D3057C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  <w:lang w:val="en-US"/>
        </w:rPr>
      </w:pPr>
    </w:p>
    <w:p w:rsidR="00DD3A91" w:rsidRDefault="00DD3A91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DD3A91">
        <w:rPr>
          <w:rFonts w:ascii="Arial" w:hAnsi="Arial" w:cs="Arial"/>
          <w:sz w:val="24"/>
          <w:szCs w:val="24"/>
          <w:lang w:val="en-US"/>
        </w:rPr>
        <w:t>Kendall, K. y Kendall, J.</w:t>
      </w:r>
      <w:r>
        <w:rPr>
          <w:rFonts w:ascii="Arial" w:hAnsi="Arial" w:cs="Arial"/>
          <w:sz w:val="24"/>
          <w:szCs w:val="24"/>
          <w:lang w:val="en-US"/>
        </w:rPr>
        <w:t xml:space="preserve"> (</w:t>
      </w:r>
      <w:r w:rsidR="00B36836">
        <w:rPr>
          <w:rFonts w:ascii="Arial" w:hAnsi="Arial" w:cs="Arial"/>
          <w:sz w:val="24"/>
          <w:szCs w:val="24"/>
          <w:lang w:val="en-US"/>
        </w:rPr>
        <w:t xml:space="preserve">2011). </w:t>
      </w:r>
      <w:r w:rsidR="00B36836" w:rsidRPr="00B36836">
        <w:rPr>
          <w:rFonts w:ascii="Arial" w:hAnsi="Arial" w:cs="Arial"/>
          <w:b/>
          <w:sz w:val="24"/>
          <w:szCs w:val="24"/>
        </w:rPr>
        <w:t>Análisis y Diseño de Sistemas</w:t>
      </w:r>
      <w:r w:rsidR="008976F9">
        <w:rPr>
          <w:rFonts w:ascii="Arial" w:hAnsi="Arial" w:cs="Arial"/>
          <w:sz w:val="24"/>
          <w:szCs w:val="24"/>
        </w:rPr>
        <w:t>.</w:t>
      </w:r>
      <w:r w:rsidR="00B36836">
        <w:rPr>
          <w:rFonts w:ascii="Arial" w:hAnsi="Arial" w:cs="Arial"/>
          <w:b/>
          <w:sz w:val="24"/>
          <w:szCs w:val="24"/>
        </w:rPr>
        <w:t xml:space="preserve"> </w:t>
      </w:r>
      <w:r w:rsidR="00B36836">
        <w:rPr>
          <w:rFonts w:ascii="Arial" w:hAnsi="Arial" w:cs="Arial"/>
          <w:sz w:val="24"/>
          <w:szCs w:val="24"/>
        </w:rPr>
        <w:t>8</w:t>
      </w:r>
      <w:r w:rsidR="00B36836">
        <w:rPr>
          <w:rFonts w:ascii="Arial" w:hAnsi="Arial" w:cs="Arial"/>
          <w:sz w:val="24"/>
          <w:szCs w:val="24"/>
          <w:vertAlign w:val="superscript"/>
        </w:rPr>
        <w:t>a</w:t>
      </w:r>
      <w:r w:rsidR="00B36836">
        <w:rPr>
          <w:rFonts w:ascii="Arial" w:hAnsi="Arial" w:cs="Arial"/>
          <w:sz w:val="24"/>
          <w:szCs w:val="24"/>
        </w:rPr>
        <w:t>. Edición. Estados Unidos: Prentice Hall, Inc.</w:t>
      </w:r>
    </w:p>
    <w:p w:rsidR="00D3057C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D3057C" w:rsidRDefault="00D3057C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631084">
        <w:rPr>
          <w:rFonts w:ascii="Arial" w:hAnsi="Arial" w:cs="Arial"/>
          <w:color w:val="000000" w:themeColor="text1"/>
          <w:sz w:val="24"/>
          <w:szCs w:val="24"/>
        </w:rPr>
        <w:t>Hernández, R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.,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Fernández, C. y Baptista, P. (201</w:t>
      </w:r>
      <w:r w:rsidR="00F168B7">
        <w:rPr>
          <w:rFonts w:ascii="Arial" w:hAnsi="Arial" w:cs="Arial"/>
          <w:color w:val="000000" w:themeColor="text1"/>
          <w:sz w:val="24"/>
          <w:szCs w:val="24"/>
        </w:rPr>
        <w:t>4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  <w:r w:rsidRPr="00631084">
        <w:rPr>
          <w:rFonts w:ascii="Arial" w:hAnsi="Arial" w:cs="Arial"/>
          <w:b/>
          <w:color w:val="000000" w:themeColor="text1"/>
          <w:sz w:val="24"/>
          <w:szCs w:val="24"/>
        </w:rPr>
        <w:t>Metodología de la Investigació</w:t>
      </w:r>
      <w:r w:rsidR="008976F9">
        <w:rPr>
          <w:rFonts w:ascii="Arial" w:hAnsi="Arial" w:cs="Arial"/>
          <w:b/>
          <w:color w:val="000000" w:themeColor="text1"/>
          <w:sz w:val="24"/>
          <w:szCs w:val="24"/>
        </w:rPr>
        <w:t>n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.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>6</w:t>
      </w:r>
      <w:r w:rsidR="008976F9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Edición.</w:t>
      </w:r>
      <w:r w:rsidR="008976F9">
        <w:rPr>
          <w:rFonts w:ascii="Arial" w:hAnsi="Arial" w:cs="Arial"/>
          <w:color w:val="000000" w:themeColor="text1"/>
          <w:sz w:val="24"/>
          <w:szCs w:val="24"/>
        </w:rPr>
        <w:t xml:space="preserve"> México D.F., México:</w:t>
      </w:r>
      <w:r w:rsidRPr="00631084">
        <w:rPr>
          <w:rFonts w:ascii="Arial" w:hAnsi="Arial" w:cs="Arial"/>
          <w:color w:val="000000" w:themeColor="text1"/>
          <w:sz w:val="24"/>
          <w:szCs w:val="24"/>
        </w:rPr>
        <w:t xml:space="preserve"> Editorial Mc Graw Hill. </w:t>
      </w: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8976F9" w:rsidRDefault="008976F9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Tamayo y Tamayo, M. (2003).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Proceso de la Investigación Científica</w:t>
      </w:r>
      <w:r>
        <w:rPr>
          <w:rFonts w:ascii="Arial" w:hAnsi="Arial" w:cs="Arial"/>
          <w:color w:val="000000" w:themeColor="text1"/>
          <w:sz w:val="24"/>
          <w:szCs w:val="24"/>
        </w:rPr>
        <w:t>. 4</w:t>
      </w:r>
      <w:r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Edición. México D.F., México: Editorial Limusa, S.A. de C.V. Grupo Noriega Editores.</w:t>
      </w: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3043AD" w:rsidRDefault="003043AD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Arias, F. (2012). </w:t>
      </w:r>
      <w:r>
        <w:rPr>
          <w:rFonts w:ascii="Arial" w:hAnsi="Arial" w:cs="Arial"/>
          <w:b/>
          <w:color w:val="000000" w:themeColor="text1"/>
          <w:sz w:val="24"/>
          <w:szCs w:val="24"/>
        </w:rPr>
        <w:t>El Proyecto de Investigación. Introducción a la Metodología Científica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6</w:t>
      </w:r>
      <w:r w:rsidR="00D22952">
        <w:rPr>
          <w:rFonts w:ascii="Arial" w:hAnsi="Arial" w:cs="Arial"/>
          <w:color w:val="000000" w:themeColor="text1"/>
          <w:sz w:val="24"/>
          <w:szCs w:val="24"/>
          <w:vertAlign w:val="superscript"/>
        </w:rPr>
        <w:t>a</w:t>
      </w:r>
      <w:r w:rsidR="00D22952">
        <w:rPr>
          <w:rFonts w:ascii="Arial" w:hAnsi="Arial" w:cs="Arial"/>
          <w:color w:val="000000" w:themeColor="text1"/>
          <w:sz w:val="24"/>
          <w:szCs w:val="24"/>
        </w:rPr>
        <w:t xml:space="preserve"> Edición. Caracas, República Bolivariana de Venezuela: Editorial Episteme, C.A.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Pr="00E219C6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Balestrini (2006</w:t>
      </w:r>
      <w:r w:rsidRPr="00F176C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Cómo se elabora el proyecto de investigación. </w:t>
      </w:r>
      <w:r>
        <w:rPr>
          <w:rFonts w:ascii="Arial" w:hAnsi="Arial" w:cs="Arial"/>
          <w:sz w:val="24"/>
          <w:szCs w:val="24"/>
        </w:rPr>
        <w:t>7° edición. Caracas, Venezuela: BL Consultores Asociados, Servicio Editorial.</w:t>
      </w:r>
    </w:p>
    <w:p w:rsidR="005E1FE7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E1FE7" w:rsidRDefault="005E1FE7" w:rsidP="005E1FE7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  <w:r w:rsidRPr="004063E4">
        <w:rPr>
          <w:rFonts w:ascii="Arial" w:hAnsi="Arial" w:cs="Arial"/>
          <w:sz w:val="24"/>
          <w:szCs w:val="24"/>
        </w:rPr>
        <w:t xml:space="preserve">Hurtado, J. (2010). </w:t>
      </w:r>
      <w:r w:rsidRPr="004063E4">
        <w:rPr>
          <w:rFonts w:ascii="Arial" w:hAnsi="Arial" w:cs="Arial"/>
          <w:b/>
          <w:sz w:val="24"/>
          <w:szCs w:val="24"/>
        </w:rPr>
        <w:t>Guía para la comprensión holística de la ciencia.</w:t>
      </w:r>
      <w:r w:rsidRPr="004063E4">
        <w:rPr>
          <w:rFonts w:ascii="Arial" w:hAnsi="Arial" w:cs="Arial"/>
          <w:sz w:val="24"/>
          <w:szCs w:val="24"/>
        </w:rPr>
        <w:t xml:space="preserve"> 3° edición. Caracas, Venezuela: Fundación Sypal</w:t>
      </w:r>
      <w:bookmarkStart w:id="0" w:name="_GoBack"/>
      <w:bookmarkEnd w:id="0"/>
      <w:r w:rsidRPr="004063E4">
        <w:rPr>
          <w:rFonts w:ascii="Arial" w:hAnsi="Arial" w:cs="Arial"/>
          <w:sz w:val="24"/>
          <w:szCs w:val="24"/>
        </w:rPr>
        <w:t>.</w:t>
      </w:r>
    </w:p>
    <w:p w:rsidR="005E1FE7" w:rsidRPr="00D22952" w:rsidRDefault="005E1FE7" w:rsidP="00D3057C">
      <w:pPr>
        <w:spacing w:after="0" w:line="240" w:lineRule="auto"/>
        <w:ind w:left="426" w:hanging="426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D3057C" w:rsidRPr="00B36836" w:rsidRDefault="00D3057C" w:rsidP="00C54492">
      <w:pPr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sectPr w:rsidR="00D3057C" w:rsidRPr="00B36836" w:rsidSect="007E30E9">
      <w:pgSz w:w="12240" w:h="15840"/>
      <w:pgMar w:top="1701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0E9"/>
    <w:rsid w:val="000D6CFA"/>
    <w:rsid w:val="001D4A92"/>
    <w:rsid w:val="002B24C2"/>
    <w:rsid w:val="003043AD"/>
    <w:rsid w:val="003C734C"/>
    <w:rsid w:val="005E1FE7"/>
    <w:rsid w:val="007379EF"/>
    <w:rsid w:val="007E30E9"/>
    <w:rsid w:val="008976F9"/>
    <w:rsid w:val="00B36836"/>
    <w:rsid w:val="00C41704"/>
    <w:rsid w:val="00C54492"/>
    <w:rsid w:val="00D0479F"/>
    <w:rsid w:val="00D22952"/>
    <w:rsid w:val="00D3057C"/>
    <w:rsid w:val="00DD3A91"/>
    <w:rsid w:val="00F1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D6678"/>
  <w15:chartTrackingRefBased/>
  <w15:docId w15:val="{F58B951F-4596-4EFD-BF31-30C87AFC5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173</Words>
  <Characters>952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2019-05-19T12:16:00Z</dcterms:created>
  <dcterms:modified xsi:type="dcterms:W3CDTF">2019-05-25T22:50:00Z</dcterms:modified>
</cp:coreProperties>
</file>