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 w:line="300" w:lineRule="auto"/>
      </w:pPr>
      <w:r>
        <w:rPr>
          <w:rFonts w:ascii="Calibri" w:hAnsi="Calibri"/>
          <w:b/>
          <w:i w:val="0"/>
          <w:color w:val="2E74B5"/>
          <w:sz w:val="28"/>
        </w:rPr>
        <w:t>GRAC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0B2545"/>
          <w:sz w:val="56"/>
        </w:rPr>
        <w:t>CONTROL MANAGEMENT</w:t>
      </w:r>
    </w:p>
    <w:p>
      <w:pPr>
        <w:spacing w:before="0" w:after="200" w:line="300" w:lineRule="auto"/>
      </w:pPr>
      <w:r>
        <w:rPr>
          <w:rFonts w:ascii="Calibri" w:hAnsi="Calibri"/>
          <w:b w:val="0"/>
          <w:i w:val="0"/>
          <w:color w:val="1F4D78"/>
          <w:sz w:val="36"/>
        </w:rPr>
        <w:t>User Manual</w:t>
      </w:r>
    </w:p>
    <w:p>
      <w:pPr>
        <w:spacing w:before="0" w:after="720" w:line="300" w:lineRule="auto"/>
      </w:pPr>
      <w:r>
        <w:rPr>
          <w:rFonts w:ascii="Calibri" w:hAnsi="Calibri"/>
          <w:b w:val="0"/>
          <w:i w:val="0"/>
          <w:color w:val="667085"/>
          <w:sz w:val="24"/>
        </w:rPr>
        <w:t>Regulatory Intelligence Repository &amp; Change Management Engine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Document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Version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Module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Standalone ControlManagement review build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Audience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Repository administrators, compliance analysts, reviewers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Prepared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June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Purpose: </w:t>
            </w:r>
            <w:r>
              <w:rPr>
                <w:rFonts w:ascii="Calibri" w:hAnsi="Calibri"/>
                <w:sz w:val="21"/>
              </w:rPr>
              <w:t>This manual explains how to navigate and use the standalone GRAC Control Management module created for functional review.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/>
          <w:b w:val="0"/>
          <w:i/>
          <w:color w:val="667085"/>
          <w:sz w:val="21"/>
        </w:rPr>
        <w:t>The module is designed as a configurable repository. Framework-specific names, taxonomies, releases, obligations, and applicability rules are maintained as data.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1. Module Overview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2. Access and Navigation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3. Common Screen Workflow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4. Recommended Onboarding Sequence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5. Screen-by-Screen Guide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6. Audit and Traceability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7. Status and Change Guidance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8. Review-Build Notes</w:t>
      </w:r>
    </w:p>
    <w:p>
      <w:pPr>
        <w:spacing w:before="0" w:after="60" w:line="300" w:lineRule="auto"/>
      </w:pPr>
      <w:r>
        <w:rPr>
          <w:rFonts w:ascii="Calibri" w:hAnsi="Calibri"/>
          <w:b w:val="0"/>
          <w:i w:val="0"/>
          <w:sz w:val="22"/>
        </w:rPr>
        <w:t>9. Quick Reference</w:t>
      </w:r>
    </w:p>
    <w:p>
      <w:r>
        <w:br w:type="page"/>
      </w:r>
    </w:p>
    <w:p>
      <w:pPr>
        <w:pStyle w:val="Heading1"/>
      </w:pPr>
      <w:r>
        <w:t>1. Module Overview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Control Management is the GRAC repository for regulatory intelligence. It maintains authorities, regulatory artifacts, releases, native source structures, normalized controls, atomic requirements, release-specific obligations, applicability rules, change events, impact records, and notifications.</w:t>
      </w:r>
    </w:p>
    <w:p>
      <w:pPr>
        <w:pStyle w:val="Heading2"/>
      </w:pPr>
      <w:r>
        <w:t>Repository Relationship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Authority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Regulatory Artifact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Release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Framework Source Structure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Source Structure-Control Mapping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Control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Control-Requirement Mapping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Requirement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Regulatory Obligation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Design principle: </w:t>
            </w:r>
            <w:r>
              <w:rPr>
                <w:rFonts w:ascii="Calibri" w:hAnsi="Calibri"/>
                <w:sz w:val="21"/>
              </w:rPr>
              <w:t>Controls and requirements are normalized and reusable. Obligations remain release-specific because execution expectations can differ across publishers and versions.</w:t>
            </w:r>
          </w:p>
        </w:tc>
      </w:tr>
    </w:tbl>
    <w:p/>
    <w:p>
      <w:pPr>
        <w:pStyle w:val="Heading2"/>
      </w:pPr>
      <w:r>
        <w:t>What the module avoids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No named regulatory framework is hardcoded into business logic.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No physical delete is required for repository records.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No native source terminology is discarded during normalization.</w:t>
      </w:r>
    </w:p>
    <w:p>
      <w:pPr>
        <w:pStyle w:val="Heading1"/>
      </w:pPr>
      <w:r>
        <w:t>2. Access and Navigation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Open the Control Management web application. The left sidebar provides access to the overview dashboard, all repository management screens, and the audit traceability view.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Dashboard Item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Repository areas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Number of configurable management screens available.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Traceability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Indicates that soft delete and immutable audit history are part of the design.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Framework logic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Confirms that onboarding behavior is data-driven.</w:t>
            </w:r>
          </w:p>
        </w:tc>
      </w:tr>
    </w:tbl>
    <w:p/>
    <w:p>
      <w:pPr>
        <w:pStyle w:val="Heading2"/>
      </w:pPr>
      <w:r>
        <w:t>Sidebar Navigation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Select any sidebar item to open its repository workspace. Use Overview to return to the landing dashboard.</w:t>
      </w:r>
    </w:p>
    <w:p>
      <w:pPr>
        <w:pStyle w:val="Heading1"/>
      </w:pPr>
      <w:r>
        <w:t>3. Common Screen Workflow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Each management screen follows the same interaction pattern so users can move between repository areas without learning a new layout.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How to use 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Search repository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Type a keyword to filter the current list.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All statuses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Filter records by Active, Draft, or Retired status.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Refresh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Reload the current repository list from the API.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Add record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Open the record entry dialog.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View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Review the selected row. Detailed view behavior is part of the next integration phase.</w:t>
            </w:r>
          </w:p>
        </w:tc>
      </w:tr>
    </w:tbl>
    <w:p/>
    <w:p>
      <w:pPr>
        <w:pStyle w:val="Heading2"/>
      </w:pPr>
      <w:r>
        <w:t>Adding a Record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Select the required repository area from the sidebar.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Choose Add record.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Enter your user identifier in Entered by.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Enter the record metadata as valid JSON.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Choose Save.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Review the success message and refresh the list if required.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Form controls: </w:t>
            </w:r>
            <w:r>
              <w:rPr>
                <w:rFonts w:ascii="Calibri" w:hAnsi="Calibri"/>
                <w:sz w:val="21"/>
              </w:rPr>
              <w:t>Each repository area uses a dedicated Add/Edit form with ordinary text fields, text areas, dates, checkboxes, and API-fed dropdowns. Mapping screens use multi-select controls where several relationships can be created together.</w:t>
            </w:r>
          </w:p>
        </w:tc>
      </w:tr>
    </w:tbl>
    <w:p/>
    <w:p>
      <w:pPr>
        <w:pStyle w:val="Heading2"/>
      </w:pPr>
      <w:r>
        <w:t>Example: Add an Authority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F4D78"/>
          <w:sz w:val="21"/>
        </w:rPr>
        <w:t>Enter the authority name, description, jurisdiction, website, and status. The module generates the internal authority code automatically.</w:t>
      </w:r>
    </w:p>
    <w:p>
      <w:pPr>
        <w:pStyle w:val="Heading1"/>
      </w:pPr>
      <w:r>
        <w:t>4. Recommended Onboarding Sequence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Use the following sequence when onboarding a new regulatory source. This preserves referential integrity and makes downstream mappings easier to review.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Create the Authority.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Create the Regulatory Artifact under the authority.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Create one or more Releases for the artifact.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Build the Framework Source Structure for each release.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Create or reuse normalized Controls.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Create or reuse atomic Requirements.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Map releases to controls.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Map native source structure nodes to controls.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Map controls to requirements.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Create release-specific Obligations.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Configure Applicability Rules.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sz w:val="22"/>
        </w:rPr>
        <w:t>Record Changes, Impact Analysis, and Notifications when a regulatory change is identified.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Important: </w:t>
            </w:r>
            <w:r>
              <w:rPr>
                <w:rFonts w:ascii="Calibri" w:hAnsi="Calibri"/>
                <w:sz w:val="21"/>
              </w:rPr>
              <w:t>Reuse existing controls and requirements whenever they express the same normalized compliance expectation. Do not create framework-specific duplicates unless the expectation is materially different.</w:t>
            </w:r>
          </w:p>
        </w:tc>
      </w:tr>
    </w:tbl>
    <w:p/>
    <w:p>
      <w:pPr>
        <w:pStyle w:val="Heading1"/>
      </w:pPr>
      <w:r>
        <w:t>5. Screen-by-Screen Guide</w:t>
      </w:r>
    </w:p>
    <w:p>
      <w:pPr>
        <w:pStyle w:val="Heading2"/>
      </w:pPr>
      <w:r>
        <w:t>Authorities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issuing and supervisory bodies.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name, description, jurisdiction, website, 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Regulatory Artifacts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regulations, standards, laws, directives, circulars, guidelines, and accreditation programs.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authorityId, name, description, category, industry, jurisdiction, 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Releases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published versions of regulatory artifacts.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artifactId, version, effectiveDate, endDate, releaseNotes, 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Framework Source Structure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Preserve native hierarchy and terminology for each release.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releaseId, parentNodeId, nodeLevel, nodeType, reference, title, description, displayOrder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Controls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normalized reusable compliance objectives.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code, name, description, objective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Requirements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atomic, independently assessable compliance expectations.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code, name, statement, objective, status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Obligations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release-specific execution expectations.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requirementId, releaseId, mandatory, frequencyType, frequencyValue, frequencyUnit, triggerCondition, dueWithin, evidenceRequired, evidenceType, retentionRequirement, severity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Control-Requirement Mapping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Associate reusable requirements with controls.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controlId, requirementId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Source Structure-Control Mapping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Link native framework leaf references to normalized controls; release association is derived from the selected source node.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structureNodeId, controlId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Applicability Rules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Maintain metadata-driven organizational scope rules.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artifactId, releaseId, name, expression, priority, outcome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Change Management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Record regulatory repository lifecycle events.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entityType, entityId, changeType, summary, effectiveDate, severity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Impact Analysis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Record repository and organizational impacts.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changeEventId, impactedEntityType, impactedEntityId, organizationId, summary, recommendedAction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2"/>
      </w:pPr>
      <w:r>
        <w:t>Notification View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sz w:val="22"/>
        </w:rPr>
        <w:t>Create and review organization notifications.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Entry metadata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Form fields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impactAnalysisId, organizationId, type, subject, message, severity, recommendedAction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Good practice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 stable codes and meaningful descriptions. Retire superseded records instead of deleting them.</w:t>
            </w:r>
          </w:p>
        </w:tc>
      </w:tr>
    </w:tbl>
    <w:p/>
    <w:p>
      <w:pPr>
        <w:pStyle w:val="Heading1"/>
      </w:pPr>
      <w:r>
        <w:t>6. Audit and Traceability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Use Audit Traceability to review the immutable repository history. Audit records capture the entity type, entity identifier, action type, status, user, and timestamp.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Audit Column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Description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EntityType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Repository area affected by the action.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EntityId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Identifier of the affected record.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ActionType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Action recorded by the stored procedure, such as SAVE or RETIRE.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Audit row status. Audit records remain immutable.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EnteredBy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User identifier supplied with the transaction.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EnteredDt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UTC timestamp recorded by the database.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Traceability rule: </w:t>
            </w:r>
            <w:r>
              <w:rPr>
                <w:rFonts w:ascii="Calibri" w:hAnsi="Calibri"/>
                <w:sz w:val="21"/>
              </w:rPr>
              <w:t>Audit trace rows are append-only. The database trigger rejects updates and deletes against the audit table.</w:t>
            </w:r>
          </w:p>
        </w:tc>
      </w:tr>
    </w:tbl>
    <w:p/>
    <w:p>
      <w:pPr>
        <w:pStyle w:val="Heading1"/>
      </w:pPr>
      <w:r>
        <w:t>7. Status and Change Guidance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100"/>
        <w:gridCol w:w="58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Typical states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Guidance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Authorities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Active, Inactive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Mark inactive when an authority should no longer be used for onboarding.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Artifacts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Active, Retired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Retire artifacts without removing historical releases.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Releases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Draft, Active, Retired, Archived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Multiple releases may remain active when required.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Controls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Active, Retired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Retire only when the normalized objective is no longer applicable.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Requirements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Active, Retired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Track lifecycle events through Change Management and Audit Traceability.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Notifications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Pending, Archived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Archive notifications after operational handling.</w:t>
            </w:r>
          </w:p>
        </w:tc>
      </w:tr>
    </w:tbl>
    <w:p/>
    <w:p>
      <w:pPr>
        <w:pStyle w:val="Heading1"/>
      </w:pPr>
      <w:r>
        <w:t>8. Review-Build Notes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This manual describes the standalone first-review module. The following items remain explicit decisions for integration into the main GRAC platform: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Authentication and role-based authorization.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Approval workflow for repository publishing.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Organization directory integration and client applicability execution.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Notification delivery channels and templates.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Current behavior: </w:t>
            </w:r>
            <w:r>
              <w:rPr>
                <w:rFonts w:ascii="Calibri" w:hAnsi="Calibri"/>
                <w:sz w:val="21"/>
              </w:rPr>
              <w:t>All requested repository screens are present. Reads and stored-procedure-backed writes are implemented for the requested areas. The list UI can be reviewed independently after the API connection string is configured.</w:t>
            </w:r>
          </w:p>
        </w:tc>
      </w:tr>
    </w:tbl>
    <w:p/>
    <w:p>
      <w:pPr>
        <w:pStyle w:val="Heading1"/>
      </w:pPr>
      <w:r>
        <w:t>9. Quick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Need to...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Open this screen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Register a publisher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Authorities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Add a regulation, standard, law, or program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Regulatory Artifacts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Create a version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Releases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Preserve native references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Framework Source Structure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Define a normalized objective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Controls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Define an atomic expectation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Requirements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Record execution expectations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Obligations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Link controls and requirements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Control-Requirement Mapping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Derive release-control coverage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Source Structure-Control Mapping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Link native references and controls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Source Structure-Control Mapping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Determine scope through metadata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Applicability Rules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Record a regulatory change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Change Management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Assess effect on repository or organizations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Impact Analysis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Prepare organization communication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Notification View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Review historical actions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18"/>
              </w:rPr>
              <w:t>Audit Traceability</w:t>
            </w:r>
          </w:p>
        </w:tc>
      </w:tr>
    </w:tbl>
    <w:p/>
    <w:p>
      <w:pPr>
        <w:spacing w:before="360" w:after="120" w:line="300" w:lineRule="auto"/>
        <w:jc w:val="center"/>
      </w:pPr>
      <w:r>
        <w:rPr>
          <w:rFonts w:ascii="Calibri" w:hAnsi="Calibri"/>
          <w:b/>
          <w:i w:val="0"/>
          <w:color w:val="667085"/>
          <w:sz w:val="20"/>
        </w:rPr>
        <w:t>End of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67085"/>
        <w:sz w:val="18"/>
      </w:rPr>
      <w:t>Standalone review module | User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color w:val="667085"/>
        <w:sz w:val="18"/>
      </w:rPr>
      <w:t>GRAC | Control Management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