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pPr>
      <w:r>
        <w:rPr>
          <w:rFonts w:ascii="Calibri" w:hAnsi="Calibri"/>
          <w:b/>
          <w:color w:val="1F3556"/>
          <w:sz w:val="30"/>
        </w:rPr>
        <w:t>GRAC — Control Management Module</w:t>
      </w:r>
    </w:p>
    <w:p>
      <w:pPr>
        <w:spacing w:after="240" w:before="0"/>
      </w:pPr>
      <w:r>
        <w:rPr>
          <w:rFonts w:ascii="Calibri" w:hAnsi="Calibri"/>
          <w:b w:val="0"/>
          <w:color w:val="4A5A70"/>
          <w:sz w:val="24"/>
        </w:rPr>
        <w:t>Solution Architecture</w:t>
      </w:r>
    </w:p>
    <w:p>
      <w:pPr>
        <w:spacing w:after="240" w:before="0"/>
      </w:pPr>
      <w:r>
        <w:rPr>
          <w:rFonts w:ascii="Calibri" w:hAnsi="Calibri"/>
          <w:b w:val="0"/>
          <w:color w:val="000000"/>
          <w:sz w:val="20"/>
        </w:rPr>
        <w:t>The module is built as a layered, two-process ASP.NET Core solution over SQL Server. The browser talks only to a same-origin web gateway; the gateway talks to the API over encrypted signed envelopes; the API talks to the database only through stored procedures. Each layer below states what it does and the characteristics that make it fit for a regulated, audit-bound workload.</w:t>
      </w:r>
    </w:p>
    <w:tbl>
      <w:tblPr>
        <w:tblW w:type="auto" w:w="0"/>
        <w:tblLayout w:type="fixed"/>
        <w:tblLook w:firstColumn="1" w:firstRow="1" w:lastColumn="0" w:lastRow="0" w:noHBand="0" w:noVBand="1" w:val="04A0"/>
        <w:tblBorders>
          <w:top w:val="single" w:sz="4" w:color="B8C2CF"/>
          <w:left w:val="single" w:sz="4" w:color="B8C2CF"/>
          <w:bottom w:val="single" w:sz="4" w:color="B8C2CF"/>
          <w:right w:val="single" w:sz="4" w:color="B8C2CF"/>
          <w:insideH w:val="single" w:sz="2" w:color="D4DAE3"/>
          <w:insideV w:val="single" w:sz="2" w:color="D4DAE3"/>
        </w:tblBorders>
      </w:tblPr>
      <w:tblGrid>
        <w:gridCol w:w="3360"/>
        <w:gridCol w:w="3360"/>
        <w:gridCol w:w="3360"/>
      </w:tblGrid>
      <w:tr>
        <w:trPr>
          <w:tblHeader/>
        </w:trPr>
        <w:tc>
          <w:tcPr>
            <w:tcW w:type="dxa" w:w="3360"/>
            <w:tcW w:w="1800" w:type="dxa"/>
            <w:shd w:val="clear" w:color="auto" w:fill="1F3556"/>
            <w:tcMar>
              <w:top w:w="80" w:type="dxa"/>
              <w:left w:w="120" w:type="dxa"/>
              <w:bottom w:w="80" w:type="dxa"/>
              <w:right w:w="120" w:type="dxa"/>
            </w:tcMar>
          </w:tcPr>
          <w:p>
            <w:pPr>
              <w:spacing w:before="0" w:after="0"/>
              <w:jc w:val="left"/>
            </w:pPr>
            <w:r/>
            <w:r>
              <w:rPr>
                <w:rFonts w:ascii="Calibri" w:hAnsi="Calibri"/>
                <w:b/>
                <w:color w:val="FFFFFF"/>
                <w:sz w:val="18"/>
              </w:rPr>
              <w:t>Layer</w:t>
            </w:r>
          </w:p>
        </w:tc>
        <w:tc>
          <w:tcPr>
            <w:tcW w:type="dxa" w:w="3360"/>
            <w:tcW w:w="3600" w:type="dxa"/>
            <w:shd w:val="clear" w:color="auto" w:fill="1F3556"/>
            <w:tcMar>
              <w:top w:w="80" w:type="dxa"/>
              <w:left w:w="120" w:type="dxa"/>
              <w:bottom w:w="80" w:type="dxa"/>
              <w:right w:w="120" w:type="dxa"/>
            </w:tcMar>
          </w:tcPr>
          <w:p>
            <w:pPr>
              <w:spacing w:before="0" w:after="0"/>
              <w:jc w:val="left"/>
            </w:pPr>
            <w:r/>
            <w:r>
              <w:rPr>
                <w:rFonts w:ascii="Calibri" w:hAnsi="Calibri"/>
                <w:b/>
                <w:color w:val="FFFFFF"/>
                <w:sz w:val="18"/>
              </w:rPr>
              <w:t>Function</w:t>
            </w:r>
          </w:p>
        </w:tc>
        <w:tc>
          <w:tcPr>
            <w:tcW w:type="dxa" w:w="3360"/>
            <w:tcW w:w="4680" w:type="dxa"/>
            <w:shd w:val="clear" w:color="auto" w:fill="1F3556"/>
            <w:tcMar>
              <w:top w:w="80" w:type="dxa"/>
              <w:left w:w="120" w:type="dxa"/>
              <w:bottom w:w="80" w:type="dxa"/>
              <w:right w:w="120" w:type="dxa"/>
            </w:tcMar>
          </w:tcPr>
          <w:p>
            <w:pPr>
              <w:spacing w:before="0" w:after="0"/>
              <w:jc w:val="left"/>
            </w:pPr>
            <w:r/>
            <w:r>
              <w:rPr>
                <w:rFonts w:ascii="Calibri" w:hAnsi="Calibri"/>
                <w:b/>
                <w:color w:val="FFFFFF"/>
                <w:sz w:val="18"/>
              </w:rPr>
              <w:t>Key Characteristics</w:t>
            </w:r>
          </w:p>
        </w:tc>
      </w:tr>
      <w:tr>
        <w:tc>
          <w:tcPr>
            <w:tcW w:type="dxa" w:w="10080"/>
            <w:gridSpan w:val="3"/>
            <w:tcW w:w="10080" w:type="dxa"/>
            <w:shd w:val="clear" w:color="auto" w:fill="E8ECF2"/>
            <w:tcMar>
              <w:top w:w="90" w:type="dxa"/>
              <w:left w:w="120" w:type="dxa"/>
              <w:bottom w:w="90" w:type="dxa"/>
              <w:right w:w="120" w:type="dxa"/>
            </w:tcMar>
          </w:tcPr>
          <w:p>
            <w:pPr>
              <w:spacing w:before="0" w:after="0"/>
              <w:jc w:val="left"/>
            </w:pPr>
            <w:r/>
            <w:r>
              <w:rPr>
                <w:rFonts w:ascii="Calibri" w:hAnsi="Calibri"/>
                <w:b/>
                <w:color w:val="1F3556"/>
                <w:sz w:val="18"/>
              </w:rPr>
              <w:t>Client Tier</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Presentation Layer</w:t>
            </w:r>
            <w:r>
              <w:rPr>
                <w:rFonts w:ascii="Calibri" w:hAnsi="Calibri"/>
                <w:b/>
                <w:color w:val="000000"/>
                <w:sz w:val="18"/>
              </w:rPr>
              <w:br/>
              <w:t>(Browser UI)</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Renders every repository and assurance screen — list grids, Add/Edit/View forms, multi-select mapping forms and the merged obligation composite form. Collects user input, performs first-pass field validation and calls the same-origin gateway.</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Razor views (Manage.cshtml generic screen plus dedicated forms) with Bootstrap layout and plain ES module JavaScript — no SPA framework. All dropdowns are API-fed; users never type JSON. Holds no API token, no encryption key and no connection detail. Locked down by a strict Content-Security-Policy, X-Frame-Options DENY and nosniff.</w:t>
            </w:r>
          </w:p>
        </w:tc>
      </w:tr>
      <w:tr>
        <w:tc>
          <w:tcPr>
            <w:tcW w:type="dxa" w:w="10080"/>
            <w:gridSpan w:val="3"/>
            <w:tcW w:w="10080" w:type="dxa"/>
            <w:shd w:val="clear" w:color="auto" w:fill="E8ECF2"/>
            <w:tcMar>
              <w:top w:w="90" w:type="dxa"/>
              <w:left w:w="120" w:type="dxa"/>
              <w:bottom w:w="90" w:type="dxa"/>
              <w:right w:w="120" w:type="dxa"/>
            </w:tcMar>
          </w:tcPr>
          <w:p>
            <w:pPr>
              <w:spacing w:before="0" w:after="0"/>
              <w:jc w:val="left"/>
            </w:pPr>
            <w:r/>
            <w:r>
              <w:rPr>
                <w:rFonts w:ascii="Calibri" w:hAnsi="Calibri"/>
                <w:b/>
                <w:color w:val="1F3556"/>
                <w:sz w:val="18"/>
              </w:rPr>
              <w:t>Web Tier — ControlManagement.Web</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Web Application Layer</w:t>
            </w:r>
            <w:r>
              <w:rPr>
                <w:rFonts w:ascii="Calibri" w:hAnsi="Calibri"/>
                <w:b/>
                <w:color w:val="000000"/>
                <w:sz w:val="18"/>
              </w:rPr>
              <w:br/>
              <w:t>(MVC Host)</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Hosts the UI, owns the user session, resolves the role-filtered navigation menu, routes screen requests by area key and enforces the first-login password-change guard.</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ASP.NET Core MVC. Session cookie is HttpOnly, SameSite=Strict, Secure in non-development, 30-minute idle timeout. Menu built per user by ControlMenuService. Forwarded-headers and PathBase support so the app can be published under an IIS virtual directory. Stateless apart from session — safe to scale behind a sticky-session load balancer.</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Security Gateway Layer</w:t>
            </w:r>
            <w:r>
              <w:rPr>
                <w:rFonts w:ascii="Calibri" w:hAnsi="Calibri"/>
                <w:b/>
                <w:color w:val="000000"/>
                <w:sz w:val="18"/>
              </w:rPr>
              <w:br/>
              <w:t>(Backend-for-Frontend)</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The single door between browser and API. Attaches the session-held access token, applies CSRF validation and RBAC pre-checks, protects cross-screen navigation context, and forwards the request to the API as an encrypted signed envelope.</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Exposed as /control-management-gateway/{entityType}; same-origin only, so the token never reaches browser JavaScript. Antiforgery via the X-CSRF-TOKEN header on every mutation. Fixed-window rate limiting (120 requests/min gateway, 5/min login) per client IP. Navigation filters travel as encrypted opaque codes instead of raw record ids, preventing URL tampering.</w:t>
            </w:r>
          </w:p>
        </w:tc>
      </w:tr>
      <w:tr>
        <w:tc>
          <w:tcPr>
            <w:tcW w:type="dxa" w:w="10080"/>
            <w:gridSpan w:val="3"/>
            <w:tcW w:w="10080" w:type="dxa"/>
            <w:shd w:val="clear" w:color="auto" w:fill="E8ECF2"/>
            <w:tcMar>
              <w:top w:w="90" w:type="dxa"/>
              <w:left w:w="120" w:type="dxa"/>
              <w:bottom w:w="90" w:type="dxa"/>
              <w:right w:w="120" w:type="dxa"/>
            </w:tcMar>
          </w:tcPr>
          <w:p>
            <w:pPr>
              <w:spacing w:before="0" w:after="0"/>
              <w:jc w:val="left"/>
            </w:pPr>
            <w:r/>
            <w:r>
              <w:rPr>
                <w:rFonts w:ascii="Calibri" w:hAnsi="Calibri"/>
                <w:b/>
                <w:color w:val="1F3556"/>
                <w:sz w:val="18"/>
              </w:rPr>
              <w:t>Shared Kernel</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Security Kernel</w:t>
            </w:r>
            <w:r>
              <w:rPr>
                <w:rFonts w:ascii="Calibri" w:hAnsi="Calibri"/>
                <w:b/>
                <w:color w:val="000000"/>
                <w:sz w:val="18"/>
              </w:rPr>
              <w:br/>
              <w:t>(ControlManagement.Security)</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One shared library referenced by both the web and API processes, so the two sides can never drift apart on crypto, token or permission semantics. Issues and validates access tokens, encrypts and signs envelopes, and evaluates permissions.</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AES-256-CBC payload encryption with an HMAC-SHA256 signature over the ciphertext, verified in fixed time (GRAC-compatible envelope convention). Self-contained signed token format (cm01.payload.signature) carrying subject, roles and expiry. Permission grammar is area:action with wildcard support, driving View / Add / Edit / Delete / Approve / Reject consistently on both tiers.</w:t>
            </w:r>
          </w:p>
        </w:tc>
      </w:tr>
      <w:tr>
        <w:tc>
          <w:tcPr>
            <w:tcW w:type="dxa" w:w="10080"/>
            <w:gridSpan w:val="3"/>
            <w:tcW w:w="10080" w:type="dxa"/>
            <w:shd w:val="clear" w:color="auto" w:fill="E8ECF2"/>
            <w:tcMar>
              <w:top w:w="90" w:type="dxa"/>
              <w:left w:w="120" w:type="dxa"/>
              <w:bottom w:w="90" w:type="dxa"/>
              <w:right w:w="120" w:type="dxa"/>
            </w:tcMar>
          </w:tcPr>
          <w:p>
            <w:pPr>
              <w:spacing w:before="0" w:after="0"/>
              <w:jc w:val="left"/>
            </w:pPr>
            <w:r/>
            <w:r>
              <w:rPr>
                <w:rFonts w:ascii="Calibri" w:hAnsi="Calibri"/>
                <w:b/>
                <w:color w:val="1F3556"/>
                <w:sz w:val="18"/>
              </w:rPr>
              <w:t>API Tier — ControlManagement.Api</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API Endpoint Layer</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Terminates the secure envelope, independently re-authenticates and re-authorises every request, resolves the entity type to the correct dispatcher, and returns an encrypted signed response.</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Two envelope endpoints — secure/query and secure/manage — plus authentication and upload controllers. Never trusts the gateway: token signature, expiry, roles, permission area and action are all re-checked. Replay protection through a request timestamp window and a single-use nonce cached in memory (default 5 minutes). CORS restricted to a configured origin allow-list; responses marked no-store.</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Validation &amp; Contract Layer</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Applies the input contract before anything reaches the database — allowed entity types, allowed actions, required fields per entity and the permitted status vocabulary.</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Entity types are an explicit allow-list, not free text. Required-field map is declared per entity, with action-aware rules where one entity accepts several payload shapes. Status values are validated against a fixed vocabulary. Rejections return a business message, not a stack trace. Database procedures re-validate independently — defence in depth, never single-point trust.</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Service / Data Access Layer</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Translates a validated command into a parameterised stored-procedure call, manages the connection and transaction, and shapes the result set back into the response payload.</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Provider-agnostic ADO.NET via DbProviderFactory — the database provider is a configuration value, so the module is not welded to one vendor. CommandType is always StoredProcedure with named parameters; there is no dynamic SQL and no ORM. Dispatch tables route each entity type to its owning procedure (repository, obligation taxonomy, obligation composite, assurance, SLA), keeping new modules additive.</w:t>
            </w:r>
          </w:p>
        </w:tc>
      </w:tr>
      <w:tr>
        <w:tc>
          <w:tcPr>
            <w:tcW w:type="dxa" w:w="10080"/>
            <w:gridSpan w:val="3"/>
            <w:tcW w:w="10080" w:type="dxa"/>
            <w:shd w:val="clear" w:color="auto" w:fill="E8ECF2"/>
            <w:tcMar>
              <w:top w:w="90" w:type="dxa"/>
              <w:left w:w="120" w:type="dxa"/>
              <w:bottom w:w="90" w:type="dxa"/>
              <w:right w:w="120" w:type="dxa"/>
            </w:tcMar>
          </w:tcPr>
          <w:p>
            <w:pPr>
              <w:spacing w:before="0" w:after="0"/>
              <w:jc w:val="left"/>
            </w:pPr>
            <w:r/>
            <w:r>
              <w:rPr>
                <w:rFonts w:ascii="Calibri" w:hAnsi="Calibri"/>
                <w:b/>
                <w:color w:val="1F3556"/>
                <w:sz w:val="18"/>
              </w:rPr>
              <w:t>Data Tier — SQL Server</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Stored Procedure Layer</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Holds the business logic: field-level rules, code auto-generation, mapping integrity, lifecycle transitions and result-set shaping. The application layer orchestrates; this layer decides.</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Dispatcher pattern — cm_get_repository / cm_manage_repository for the core repository, with dedicated dispatchers for the seven-type obligation taxonomy, the composite obligation save, assurance masters, assurance runtime and SLA master. Every change ships as a numbered, rerunnable migration with a matching rollback script, so a release can be backed out without restoring the database.</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Persistence &amp; Data Model Layer</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Stores the regulatory repository itself: authorities, artifacts, releases, native source structure, framework statements, normalised controls, atomic requirements, typed obligations, evidence and all mappings between them.</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Normalised schema in the GRAC_New schema. Metadata-driven — artifact categories, node types and applicability rules are data, so no authority or framework name is hard-coded in application logic. Controls and requirements are reusable across artifacts and releases. Retirement is status-based, not physical deletion, so history stays reconstructable.</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Workflow &amp; Audit Layer</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Enforces maker-checker approval on controlled entities and records an immutable trace of every repository change, impact assessment and notification.</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Entity master registration flag decides which entities require approval, replacing hard-coded lists. Multi-entity saves are grouped by bundle id and approved or rejected atomically. Audit tables are append-only, protected by INSTEAD OF UPDATE, DELETE triggers that raise on any tampering attempt — the trace cannot be edited even by a database administrator through normal DML.</w:t>
            </w:r>
          </w:p>
        </w:tc>
      </w:tr>
      <w:tr>
        <w:tc>
          <w:tcPr>
            <w:tcW w:type="dxa" w:w="10080"/>
            <w:gridSpan w:val="3"/>
            <w:tcW w:w="10080" w:type="dxa"/>
            <w:shd w:val="clear" w:color="auto" w:fill="E8ECF2"/>
            <w:tcMar>
              <w:top w:w="90" w:type="dxa"/>
              <w:left w:w="120" w:type="dxa"/>
              <w:bottom w:w="90" w:type="dxa"/>
              <w:right w:w="120" w:type="dxa"/>
            </w:tcMar>
          </w:tcPr>
          <w:p>
            <w:pPr>
              <w:spacing w:before="0" w:after="0"/>
              <w:jc w:val="left"/>
            </w:pPr>
            <w:r/>
            <w:r>
              <w:rPr>
                <w:rFonts w:ascii="Calibri" w:hAnsi="Calibri"/>
                <w:b/>
                <w:color w:val="1F3556"/>
                <w:sz w:val="18"/>
              </w:rPr>
              <w:t>Cross-Cutting</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Configuration &amp; Secrets</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Supplies connection strings, token signing keys, CORS origins, rate limits and the database provider name to both processes without redeployment.</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Standard ASP.NET Core configuration with environment-variable override. Production contains no default credential; connection strings and the signing key are supplied by the deployment secret manager. The API refuses to start signing operations if the key is shorter than the enforced minimum length.</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Observability &amp; Resilience</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Provides operational visibility and first-line abuse protection for both tiers.</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Structured console and debug logging on both processes; business failures logged without leaking payload content. Readiness endpoint on the API and a security diagnostics endpoint that reports token, key and permission state without exposing the key itself. Rate limiting on login and gateway paths; global exception handler and HSTS outside development.</w:t>
            </w:r>
          </w:p>
        </w:tc>
      </w:tr>
    </w:tbl>
    <w:p>
      <w:pPr>
        <w:spacing w:after="80" w:before="280"/>
      </w:pPr>
      <w:r>
        <w:rPr>
          <w:rFonts w:ascii="Calibri" w:hAnsi="Calibri"/>
          <w:b/>
          <w:color w:val="1F3556"/>
          <w:sz w:val="22"/>
        </w:rPr>
        <w:t>Architectural Notes</w:t>
      </w:r>
    </w:p>
    <w:p>
      <w:pPr>
        <w:spacing w:after="80" w:before="0"/>
      </w:pPr>
      <w:r>
        <w:rPr>
          <w:rFonts w:ascii="Calibri" w:hAnsi="Calibri"/>
          <w:b w:val="0"/>
          <w:color w:val="000000"/>
          <w:sz w:val="20"/>
        </w:rPr>
        <w:t>1.  Each layer is separately deployable or replaceable: the module runs as two independent ASP.NET Core processes plus a database, so the web tier and API tier can be scaled, patched or hosted apart.</w:t>
      </w:r>
    </w:p>
    <w:p>
      <w:pPr>
        <w:spacing w:after="80" w:before="0"/>
      </w:pPr>
      <w:r>
        <w:rPr>
          <w:rFonts w:ascii="Calibri" w:hAnsi="Calibri"/>
          <w:b w:val="0"/>
          <w:color w:val="000000"/>
          <w:sz w:val="20"/>
        </w:rPr>
        <w:t>2.  Security is enforced twice by design. The web gateway checks session, CSRF and permissions; the API re-checks token signature, expiry, permissions, freshness and nonce without trusting the caller.</w:t>
      </w:r>
    </w:p>
    <w:p>
      <w:pPr>
        <w:spacing w:after="80" w:before="0"/>
      </w:pPr>
      <w:r>
        <w:rPr>
          <w:rFonts w:ascii="Calibri" w:hAnsi="Calibri"/>
          <w:b w:val="0"/>
          <w:color w:val="000000"/>
          <w:sz w:val="20"/>
        </w:rPr>
        <w:t>3.  No business rule lives in the browser. The UI collects and displays; validation and decisions belong to the API validation layer and the stored-procedure layer.</w:t>
      </w:r>
    </w:p>
    <w:p>
      <w:pPr>
        <w:spacing w:after="80" w:before="0"/>
      </w:pPr>
      <w:r>
        <w:rPr>
          <w:rFonts w:ascii="Calibri" w:hAnsi="Calibri"/>
          <w:b w:val="0"/>
          <w:color w:val="000000"/>
          <w:sz w:val="20"/>
        </w:rPr>
        <w:t>4.  The module is intentionally standalone from the main GRAC platform. Integration is expected to replace only the authentication adapter and directory-role synchronisation, leaving the repository model and all other layers unchanged.</w:t>
      </w:r>
    </w:p>
    <w:p>
      <w:pPr>
        <w:spacing w:after="80" w:before="0"/>
      </w:pPr>
      <w:r>
        <w:rPr>
          <w:rFonts w:ascii="Calibri" w:hAnsi="Calibri"/>
          <w:b w:val="0"/>
          <w:color w:val="000000"/>
          <w:sz w:val="20"/>
        </w:rPr>
        <w:t>5.  Every database change is delivered as a numbered migration with a rollback counterpart; the schema is never edited in place.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