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before="0"/>
      </w:pPr>
      <w:r>
        <w:rPr>
          <w:rFonts w:ascii="Calibri" w:hAnsi="Calibri"/>
          <w:b/>
          <w:color w:val="1F3556"/>
          <w:sz w:val="30"/>
        </w:rPr>
        <w:t>GRAC — Governance, Risk &amp; Compliance Platform</w:t>
      </w:r>
    </w:p>
    <w:p>
      <w:pPr>
        <w:spacing w:after="240" w:before="0"/>
      </w:pPr>
      <w:r>
        <w:rPr>
          <w:rFonts w:ascii="Calibri" w:hAnsi="Calibri"/>
          <w:b w:val="0"/>
          <w:color w:val="4A5A70"/>
          <w:sz w:val="24"/>
        </w:rPr>
        <w:t>Solution Architecture — Control Management &amp; Practice Management</w:t>
      </w:r>
    </w:p>
    <w:p>
      <w:pPr>
        <w:spacing w:after="240" w:before="0"/>
      </w:pPr>
      <w:r>
        <w:rPr>
          <w:rFonts w:ascii="Calibri" w:hAnsi="Calibri"/>
          <w:b w:val="0"/>
          <w:color w:val="000000"/>
          <w:sz w:val="20"/>
        </w:rPr>
        <w:t>GRAC is delivered as a layered ASP.NET Core platform over SQL Server. Two modules are in scope here: Control Management, the regulatory intelligence repository, and Practice Management, the organisation-facing execution module. Both are built on one architectural pattern and share a common security kernel — the browser talks only to a same-origin web gateway, the gateway talks to the API over encrypted signed envelopes, and the API reaches the database only through stored procedures. The table below sets out each layer, what it does, the characteristics that make it fit for a regulated and audit-bound workload, and which modules it applies to.</w:t>
      </w:r>
    </w:p>
    <w:tbl>
      <w:tblPr>
        <w:tblW w:type="auto" w:w="0"/>
        <w:tblLayout w:type="fixed"/>
        <w:tblLook w:firstColumn="1" w:firstRow="1" w:lastColumn="0" w:lastRow="0" w:noHBand="0" w:noVBand="1" w:val="04A0"/>
        <w:tblBorders>
          <w:top w:val="single" w:sz="4" w:color="B8C2CF"/>
          <w:left w:val="single" w:sz="4" w:color="B8C2CF"/>
          <w:bottom w:val="single" w:sz="4" w:color="B8C2CF"/>
          <w:right w:val="single" w:sz="4" w:color="B8C2CF"/>
          <w:insideH w:val="single" w:sz="2" w:color="D4DAE3"/>
          <w:insideV w:val="single" w:sz="2" w:color="D4DAE3"/>
        </w:tblBorders>
      </w:tblPr>
      <w:tblGrid>
        <w:gridCol w:w="2520"/>
        <w:gridCol w:w="2520"/>
        <w:gridCol w:w="2520"/>
        <w:gridCol w:w="2520"/>
      </w:tblGrid>
      <w:tr>
        <w:trPr>
          <w:tblHeader/>
        </w:trPr>
        <w:tc>
          <w:tcPr>
            <w:tcW w:type="dxa" w:w="2520"/>
            <w:tcW w:w="1560" w:type="dxa"/>
            <w:shd w:val="clear" w:color="auto" w:fill="1F3556"/>
            <w:tcMar>
              <w:top w:w="80" w:type="dxa"/>
              <w:left w:w="120" w:type="dxa"/>
              <w:bottom w:w="80" w:type="dxa"/>
              <w:right w:w="120" w:type="dxa"/>
            </w:tcMar>
          </w:tcPr>
          <w:p>
            <w:pPr>
              <w:spacing w:before="0" w:after="0"/>
              <w:jc w:val="left"/>
            </w:pPr>
            <w:r/>
            <w:r>
              <w:rPr>
                <w:rFonts w:ascii="Calibri" w:hAnsi="Calibri"/>
                <w:b/>
                <w:color w:val="FFFFFF"/>
                <w:sz w:val="18"/>
              </w:rPr>
              <w:t>Layer</w:t>
            </w:r>
          </w:p>
        </w:tc>
        <w:tc>
          <w:tcPr>
            <w:tcW w:type="dxa" w:w="2520"/>
            <w:tcW w:w="2900" w:type="dxa"/>
            <w:shd w:val="clear" w:color="auto" w:fill="1F3556"/>
            <w:tcMar>
              <w:top w:w="80" w:type="dxa"/>
              <w:left w:w="120" w:type="dxa"/>
              <w:bottom w:w="80" w:type="dxa"/>
              <w:right w:w="120" w:type="dxa"/>
            </w:tcMar>
          </w:tcPr>
          <w:p>
            <w:pPr>
              <w:spacing w:before="0" w:after="0"/>
              <w:jc w:val="left"/>
            </w:pPr>
            <w:r/>
            <w:r>
              <w:rPr>
                <w:rFonts w:ascii="Calibri" w:hAnsi="Calibri"/>
                <w:b/>
                <w:color w:val="FFFFFF"/>
                <w:sz w:val="18"/>
              </w:rPr>
              <w:t>Function</w:t>
            </w:r>
          </w:p>
        </w:tc>
        <w:tc>
          <w:tcPr>
            <w:tcW w:type="dxa" w:w="2520"/>
            <w:tcW w:w="4420" w:type="dxa"/>
            <w:shd w:val="clear" w:color="auto" w:fill="1F3556"/>
            <w:tcMar>
              <w:top w:w="80" w:type="dxa"/>
              <w:left w:w="120" w:type="dxa"/>
              <w:bottom w:w="80" w:type="dxa"/>
              <w:right w:w="120" w:type="dxa"/>
            </w:tcMar>
          </w:tcPr>
          <w:p>
            <w:pPr>
              <w:spacing w:before="0" w:after="0"/>
              <w:jc w:val="left"/>
            </w:pPr>
            <w:r/>
            <w:r>
              <w:rPr>
                <w:rFonts w:ascii="Calibri" w:hAnsi="Calibri"/>
                <w:b/>
                <w:color w:val="FFFFFF"/>
                <w:sz w:val="18"/>
              </w:rPr>
              <w:t>Key Characteristics</w:t>
            </w:r>
          </w:p>
        </w:tc>
        <w:tc>
          <w:tcPr>
            <w:tcW w:type="dxa" w:w="2520"/>
            <w:tcW w:w="1200" w:type="dxa"/>
            <w:shd w:val="clear" w:color="auto" w:fill="1F3556"/>
            <w:tcMar>
              <w:top w:w="80" w:type="dxa"/>
              <w:left w:w="120" w:type="dxa"/>
              <w:bottom w:w="80" w:type="dxa"/>
              <w:right w:w="120" w:type="dxa"/>
            </w:tcMar>
          </w:tcPr>
          <w:p>
            <w:pPr>
              <w:spacing w:before="0" w:after="0"/>
              <w:jc w:val="left"/>
            </w:pPr>
            <w:r/>
            <w:r>
              <w:rPr>
                <w:rFonts w:ascii="Calibri" w:hAnsi="Calibri"/>
                <w:b/>
                <w:color w:val="FFFFFF"/>
                <w:sz w:val="18"/>
              </w:rPr>
              <w:t>Applies To</w:t>
            </w:r>
          </w:p>
        </w:tc>
      </w:tr>
      <w:tr>
        <w:tc>
          <w:tcPr>
            <w:tcW w:type="dxa" w:w="10080"/>
            <w:gridSpan w:val="4"/>
            <w:tcW w:w="10080" w:type="dxa"/>
            <w:shd w:val="clear" w:color="auto" w:fill="E8ECF2"/>
            <w:tcMar>
              <w:top w:w="90" w:type="dxa"/>
              <w:left w:w="120" w:type="dxa"/>
              <w:bottom w:w="90" w:type="dxa"/>
              <w:right w:w="120" w:type="dxa"/>
            </w:tcMar>
          </w:tcPr>
          <w:p>
            <w:pPr>
              <w:spacing w:before="0" w:after="0"/>
              <w:jc w:val="left"/>
            </w:pPr>
            <w:r/>
            <w:r>
              <w:rPr>
                <w:rFonts w:ascii="Calibri" w:hAnsi="Calibri"/>
                <w:b/>
                <w:color w:val="1F3556"/>
                <w:sz w:val="18"/>
              </w:rPr>
              <w:t>Client Tier</w:t>
            </w:r>
          </w:p>
        </w:tc>
      </w:tr>
      <w:tr>
        <w:tc>
          <w:tcPr>
            <w:tcW w:type="dxa" w:w="2520"/>
            <w:tcW w:w="1560" w:type="dxa"/>
            <w:tcMar>
              <w:top w:w="80" w:type="dxa"/>
              <w:left w:w="120" w:type="dxa"/>
              <w:bottom w:w="80" w:type="dxa"/>
              <w:right w:w="120" w:type="dxa"/>
            </w:tcMar>
          </w:tcPr>
          <w:p>
            <w:pPr>
              <w:spacing w:before="0" w:after="0"/>
              <w:jc w:val="left"/>
            </w:pPr>
            <w:r/>
            <w:r>
              <w:rPr>
                <w:rFonts w:ascii="Calibri" w:hAnsi="Calibri"/>
                <w:b/>
                <w:color w:val="000000"/>
                <w:sz w:val="18"/>
              </w:rPr>
              <w:t>Presentation Layer</w:t>
            </w:r>
            <w:r>
              <w:rPr>
                <w:rFonts w:ascii="Calibri" w:hAnsi="Calibri"/>
                <w:b/>
                <w:color w:val="000000"/>
                <w:sz w:val="18"/>
              </w:rPr>
              <w:br/>
              <w:t>(Browser UI)</w:t>
            </w:r>
          </w:p>
        </w:tc>
        <w:tc>
          <w:tcPr>
            <w:tcW w:type="dxa" w:w="2520"/>
            <w:tcW w:w="2900" w:type="dxa"/>
            <w:tcMar>
              <w:top w:w="80" w:type="dxa"/>
              <w:left w:w="120" w:type="dxa"/>
              <w:bottom w:w="80" w:type="dxa"/>
              <w:right w:w="120" w:type="dxa"/>
            </w:tcMar>
          </w:tcPr>
          <w:p>
            <w:pPr>
              <w:spacing w:before="0" w:after="0"/>
              <w:jc w:val="left"/>
            </w:pPr>
            <w:r/>
            <w:r>
              <w:rPr>
                <w:rFonts w:ascii="Calibri" w:hAnsi="Calibri"/>
                <w:b w:val="0"/>
                <w:color w:val="000000"/>
                <w:sz w:val="18"/>
              </w:rPr>
              <w:t>Renders every screen — repository and taxonomy management in Control Management; dashboard, calendar, task centre, gap centre, exception centre, risk centre, document register and organisation assurance in Practice Management.</w:t>
            </w:r>
          </w:p>
        </w:tc>
        <w:tc>
          <w:tcPr>
            <w:tcW w:type="dxa" w:w="2520"/>
            <w:tcW w:w="4420" w:type="dxa"/>
            <w:tcMar>
              <w:top w:w="80" w:type="dxa"/>
              <w:left w:w="120" w:type="dxa"/>
              <w:bottom w:w="80" w:type="dxa"/>
              <w:right w:w="120" w:type="dxa"/>
            </w:tcMar>
          </w:tcPr>
          <w:p>
            <w:pPr>
              <w:spacing w:before="0" w:after="0"/>
              <w:jc w:val="left"/>
            </w:pPr>
            <w:r/>
            <w:r>
              <w:rPr>
                <w:rFonts w:ascii="Calibri" w:hAnsi="Calibri"/>
                <w:b w:val="0"/>
                <w:color w:val="000000"/>
                <w:sz w:val="18"/>
              </w:rPr>
              <w:t>Server-rendered Razor views built from a shared screen shell plus per-screen partials, so a new screen is an additive file rather than a new application. Plain ES module JavaScript, no SPA framework and no client-side build chain to maintain. The browser holds no API token, encryption key or connection detail. Content-Security-Policy, X-Frame-Options DENY, nosniff and referrer policy applied to every response.</w:t>
            </w:r>
          </w:p>
        </w:tc>
        <w:tc>
          <w:tcPr>
            <w:tcW w:type="dxa" w:w="2520"/>
            <w:tcW w:w="1200" w:type="dxa"/>
            <w:tcMar>
              <w:top w:w="80" w:type="dxa"/>
              <w:left w:w="120" w:type="dxa"/>
              <w:bottom w:w="80" w:type="dxa"/>
              <w:right w:w="120" w:type="dxa"/>
            </w:tcMar>
          </w:tcPr>
          <w:p>
            <w:pPr>
              <w:spacing w:before="0" w:after="0"/>
              <w:jc w:val="left"/>
            </w:pPr>
            <w:r/>
            <w:r>
              <w:rPr>
                <w:rFonts w:ascii="Calibri" w:hAnsi="Calibri"/>
                <w:b w:val="0"/>
                <w:color w:val="000000"/>
                <w:sz w:val="18"/>
              </w:rPr>
              <w:t>Both modules</w:t>
            </w:r>
          </w:p>
        </w:tc>
      </w:tr>
      <w:tr>
        <w:tc>
          <w:tcPr>
            <w:tcW w:type="dxa" w:w="10080"/>
            <w:gridSpan w:val="4"/>
            <w:tcW w:w="10080" w:type="dxa"/>
            <w:shd w:val="clear" w:color="auto" w:fill="E8ECF2"/>
            <w:tcMar>
              <w:top w:w="90" w:type="dxa"/>
              <w:left w:w="120" w:type="dxa"/>
              <w:bottom w:w="90" w:type="dxa"/>
              <w:right w:w="120" w:type="dxa"/>
            </w:tcMar>
          </w:tcPr>
          <w:p>
            <w:pPr>
              <w:spacing w:before="0" w:after="0"/>
              <w:jc w:val="left"/>
            </w:pPr>
            <w:r/>
            <w:r>
              <w:rPr>
                <w:rFonts w:ascii="Calibri" w:hAnsi="Calibri"/>
                <w:b/>
                <w:color w:val="1F3556"/>
                <w:sz w:val="18"/>
              </w:rPr>
              <w:t>Web Tier</w:t>
            </w:r>
          </w:p>
        </w:tc>
      </w:tr>
      <w:tr>
        <w:tc>
          <w:tcPr>
            <w:tcW w:type="dxa" w:w="2520"/>
            <w:tcW w:w="1560" w:type="dxa"/>
            <w:tcMar>
              <w:top w:w="80" w:type="dxa"/>
              <w:left w:w="120" w:type="dxa"/>
              <w:bottom w:w="80" w:type="dxa"/>
              <w:right w:w="120" w:type="dxa"/>
            </w:tcMar>
          </w:tcPr>
          <w:p>
            <w:pPr>
              <w:spacing w:before="0" w:after="0"/>
              <w:jc w:val="left"/>
            </w:pPr>
            <w:r/>
            <w:r>
              <w:rPr>
                <w:rFonts w:ascii="Calibri" w:hAnsi="Calibri"/>
                <w:b/>
                <w:color w:val="000000"/>
                <w:sz w:val="18"/>
              </w:rPr>
              <w:t>Web Application Layer</w:t>
            </w:r>
            <w:r>
              <w:rPr>
                <w:rFonts w:ascii="Calibri" w:hAnsi="Calibri"/>
                <w:b/>
                <w:color w:val="000000"/>
                <w:sz w:val="18"/>
              </w:rPr>
              <w:br/>
              <w:t>(MVC Host)</w:t>
            </w:r>
          </w:p>
        </w:tc>
        <w:tc>
          <w:tcPr>
            <w:tcW w:type="dxa" w:w="2520"/>
            <w:tcW w:w="2900" w:type="dxa"/>
            <w:tcMar>
              <w:top w:w="80" w:type="dxa"/>
              <w:left w:w="120" w:type="dxa"/>
              <w:bottom w:w="80" w:type="dxa"/>
              <w:right w:w="120" w:type="dxa"/>
            </w:tcMar>
          </w:tcPr>
          <w:p>
            <w:pPr>
              <w:spacing w:before="0" w:after="0"/>
              <w:jc w:val="left"/>
            </w:pPr>
            <w:r/>
            <w:r>
              <w:rPr>
                <w:rFonts w:ascii="Calibri" w:hAnsi="Calibri"/>
                <w:b w:val="0"/>
                <w:color w:val="000000"/>
                <w:sz w:val="18"/>
              </w:rPr>
              <w:t>Hosts the user interface, owns the session, resolves the role-filtered navigation menu and routes screen requests by area key.</w:t>
            </w:r>
          </w:p>
        </w:tc>
        <w:tc>
          <w:tcPr>
            <w:tcW w:type="dxa" w:w="2520"/>
            <w:tcW w:w="4420" w:type="dxa"/>
            <w:tcMar>
              <w:top w:w="80" w:type="dxa"/>
              <w:left w:w="120" w:type="dxa"/>
              <w:bottom w:w="80" w:type="dxa"/>
              <w:right w:w="120" w:type="dxa"/>
            </w:tcMar>
          </w:tcPr>
          <w:p>
            <w:pPr>
              <w:spacing w:before="0" w:after="0"/>
              <w:jc w:val="left"/>
            </w:pPr>
            <w:r/>
            <w:r>
              <w:rPr>
                <w:rFonts w:ascii="Calibri" w:hAnsi="Calibri"/>
                <w:b w:val="0"/>
                <w:color w:val="000000"/>
                <w:sz w:val="18"/>
              </w:rPr>
              <w:t>Session cookie is HttpOnly, SameSite=Strict, Secure outside development, with a 30-minute idle timeout. Login is rate-limited per client IP. Forwarded-headers and path-base support so the application can be published under an IIS virtual directory without code change. Practice Management serves two front doors — Practice and Organization Management — from a single process using explicitly ordered routes.</w:t>
            </w:r>
          </w:p>
        </w:tc>
        <w:tc>
          <w:tcPr>
            <w:tcW w:type="dxa" w:w="2520"/>
            <w:tcW w:w="1200" w:type="dxa"/>
            <w:tcMar>
              <w:top w:w="80" w:type="dxa"/>
              <w:left w:w="120" w:type="dxa"/>
              <w:bottom w:w="80" w:type="dxa"/>
              <w:right w:w="120" w:type="dxa"/>
            </w:tcMar>
          </w:tcPr>
          <w:p>
            <w:pPr>
              <w:spacing w:before="0" w:after="0"/>
              <w:jc w:val="left"/>
            </w:pPr>
            <w:r/>
            <w:r>
              <w:rPr>
                <w:rFonts w:ascii="Calibri" w:hAnsi="Calibri"/>
                <w:b w:val="0"/>
                <w:color w:val="000000"/>
                <w:sz w:val="18"/>
              </w:rPr>
              <w:t>Both modules</w:t>
            </w:r>
          </w:p>
        </w:tc>
      </w:tr>
      <w:tr>
        <w:tc>
          <w:tcPr>
            <w:tcW w:type="dxa" w:w="2520"/>
            <w:tcW w:w="1560" w:type="dxa"/>
            <w:tcMar>
              <w:top w:w="80" w:type="dxa"/>
              <w:left w:w="120" w:type="dxa"/>
              <w:bottom w:w="80" w:type="dxa"/>
              <w:right w:w="120" w:type="dxa"/>
            </w:tcMar>
          </w:tcPr>
          <w:p>
            <w:pPr>
              <w:spacing w:before="0" w:after="0"/>
              <w:jc w:val="left"/>
            </w:pPr>
            <w:r/>
            <w:r>
              <w:rPr>
                <w:rFonts w:ascii="Calibri" w:hAnsi="Calibri"/>
                <w:b/>
                <w:color w:val="000000"/>
                <w:sz w:val="18"/>
              </w:rPr>
              <w:t>Organisation Scope Layer</w:t>
            </w:r>
            <w:r>
              <w:rPr>
                <w:rFonts w:ascii="Calibri" w:hAnsi="Calibri"/>
                <w:b/>
                <w:color w:val="000000"/>
                <w:sz w:val="18"/>
              </w:rPr>
              <w:br/>
              <w:t>(Multi-Tenant Guard)</w:t>
            </w:r>
          </w:p>
        </w:tc>
        <w:tc>
          <w:tcPr>
            <w:tcW w:type="dxa" w:w="2520"/>
            <w:tcW w:w="2900" w:type="dxa"/>
            <w:tcMar>
              <w:top w:w="80" w:type="dxa"/>
              <w:left w:w="120" w:type="dxa"/>
              <w:bottom w:w="80" w:type="dxa"/>
              <w:right w:w="120" w:type="dxa"/>
            </w:tcMar>
          </w:tcPr>
          <w:p>
            <w:pPr>
              <w:spacing w:before="0" w:after="0"/>
              <w:jc w:val="left"/>
            </w:pPr>
            <w:r/>
            <w:r>
              <w:rPr>
                <w:rFonts w:ascii="Calibri" w:hAnsi="Calibri"/>
                <w:b w:val="0"/>
                <w:color w:val="000000"/>
                <w:sz w:val="18"/>
              </w:rPr>
              <w:t>Determines which organisation's data the signed-in user may act on, evaluated on every request before anything is forwarded to the API.</w:t>
            </w:r>
          </w:p>
        </w:tc>
        <w:tc>
          <w:tcPr>
            <w:tcW w:type="dxa" w:w="2520"/>
            <w:tcW w:w="4420" w:type="dxa"/>
            <w:tcMar>
              <w:top w:w="80" w:type="dxa"/>
              <w:left w:w="120" w:type="dxa"/>
              <w:bottom w:w="80" w:type="dxa"/>
              <w:right w:w="120" w:type="dxa"/>
            </w:tcMar>
          </w:tcPr>
          <w:p>
            <w:pPr>
              <w:spacing w:before="0" w:after="0"/>
              <w:jc w:val="left"/>
            </w:pPr>
            <w:r/>
            <w:r>
              <w:rPr>
                <w:rFonts w:ascii="Calibri" w:hAnsi="Calibri"/>
                <w:b w:val="0"/>
                <w:color w:val="000000"/>
                <w:sz w:val="18"/>
              </w:rPr>
              <w:t>The session carries data scope, primary organisation and the allowed-organisation list. One shared helper resolves global scope versus organisation-scoped access, deliberately kept in a single place so the rule cannot drift and open a cross-organisation data path. Organisation context is injected server-side into the outbound payload and is never accepted on trust from the browser.</w:t>
            </w:r>
          </w:p>
        </w:tc>
        <w:tc>
          <w:tcPr>
            <w:tcW w:type="dxa" w:w="2520"/>
            <w:tcW w:w="1200" w:type="dxa"/>
            <w:tcMar>
              <w:top w:w="80" w:type="dxa"/>
              <w:left w:w="120" w:type="dxa"/>
              <w:bottom w:w="80" w:type="dxa"/>
              <w:right w:w="120" w:type="dxa"/>
            </w:tcMar>
          </w:tcPr>
          <w:p>
            <w:pPr>
              <w:spacing w:before="0" w:after="0"/>
              <w:jc w:val="left"/>
            </w:pPr>
            <w:r/>
            <w:r>
              <w:rPr>
                <w:rFonts w:ascii="Calibri" w:hAnsi="Calibri"/>
                <w:b w:val="0"/>
                <w:color w:val="000000"/>
                <w:sz w:val="18"/>
              </w:rPr>
              <w:t>Practice Mgmt</w:t>
            </w:r>
          </w:p>
        </w:tc>
      </w:tr>
      <w:tr>
        <w:tc>
          <w:tcPr>
            <w:tcW w:type="dxa" w:w="2520"/>
            <w:tcW w:w="1560" w:type="dxa"/>
            <w:tcMar>
              <w:top w:w="80" w:type="dxa"/>
              <w:left w:w="120" w:type="dxa"/>
              <w:bottom w:w="80" w:type="dxa"/>
              <w:right w:w="120" w:type="dxa"/>
            </w:tcMar>
          </w:tcPr>
          <w:p>
            <w:pPr>
              <w:spacing w:before="0" w:after="0"/>
              <w:jc w:val="left"/>
            </w:pPr>
            <w:r/>
            <w:r>
              <w:rPr>
                <w:rFonts w:ascii="Calibri" w:hAnsi="Calibri"/>
                <w:b/>
                <w:color w:val="000000"/>
                <w:sz w:val="18"/>
              </w:rPr>
              <w:t>Security Gateway Layer</w:t>
            </w:r>
            <w:r>
              <w:rPr>
                <w:rFonts w:ascii="Calibri" w:hAnsi="Calibri"/>
                <w:b/>
                <w:color w:val="000000"/>
                <w:sz w:val="18"/>
              </w:rPr>
              <w:br/>
              <w:t>(Backend-for-Frontend)</w:t>
            </w:r>
          </w:p>
        </w:tc>
        <w:tc>
          <w:tcPr>
            <w:tcW w:type="dxa" w:w="2520"/>
            <w:tcW w:w="2900" w:type="dxa"/>
            <w:tcMar>
              <w:top w:w="80" w:type="dxa"/>
              <w:left w:w="120" w:type="dxa"/>
              <w:bottom w:w="80" w:type="dxa"/>
              <w:right w:w="120" w:type="dxa"/>
            </w:tcMar>
          </w:tcPr>
          <w:p>
            <w:pPr>
              <w:spacing w:before="0" w:after="0"/>
              <w:jc w:val="left"/>
            </w:pPr>
            <w:r/>
            <w:r>
              <w:rPr>
                <w:rFonts w:ascii="Calibri" w:hAnsi="Calibri"/>
                <w:b w:val="0"/>
                <w:color w:val="000000"/>
                <w:sz w:val="18"/>
              </w:rPr>
              <w:t>The browser's only route to the API. Attaches the session-held token, applies CSRF and permission checks, protects cross-screen navigation context and forwards the request.</w:t>
            </w:r>
          </w:p>
        </w:tc>
        <w:tc>
          <w:tcPr>
            <w:tcW w:type="dxa" w:w="2520"/>
            <w:tcW w:w="4420" w:type="dxa"/>
            <w:tcMar>
              <w:top w:w="80" w:type="dxa"/>
              <w:left w:w="120" w:type="dxa"/>
              <w:bottom w:w="80" w:type="dxa"/>
              <w:right w:w="120" w:type="dxa"/>
            </w:tcMar>
          </w:tcPr>
          <w:p>
            <w:pPr>
              <w:spacing w:before="0" w:after="0"/>
              <w:jc w:val="left"/>
            </w:pPr>
            <w:r/>
            <w:r>
              <w:rPr>
                <w:rFonts w:ascii="Calibri" w:hAnsi="Calibri"/>
                <w:b w:val="0"/>
                <w:color w:val="000000"/>
                <w:sz w:val="18"/>
              </w:rPr>
              <w:t>Same-origin by design, so the access token never reaches browser JavaScript and the API needs no browser-facing CORS surface. Antiforgery header validation on every mutation, permission and organisation-scope checks before forwarding, and encrypted opaque navigation codes instead of raw record identifiers in URLs. Upstream failures return a correlation identifier rather than an error trace.</w:t>
            </w:r>
          </w:p>
        </w:tc>
        <w:tc>
          <w:tcPr>
            <w:tcW w:type="dxa" w:w="2520"/>
            <w:tcW w:w="1200" w:type="dxa"/>
            <w:tcMar>
              <w:top w:w="80" w:type="dxa"/>
              <w:left w:w="120" w:type="dxa"/>
              <w:bottom w:w="80" w:type="dxa"/>
              <w:right w:w="120" w:type="dxa"/>
            </w:tcMar>
          </w:tcPr>
          <w:p>
            <w:pPr>
              <w:spacing w:before="0" w:after="0"/>
              <w:jc w:val="left"/>
            </w:pPr>
            <w:r/>
            <w:r>
              <w:rPr>
                <w:rFonts w:ascii="Calibri" w:hAnsi="Calibri"/>
                <w:b w:val="0"/>
                <w:color w:val="000000"/>
                <w:sz w:val="18"/>
              </w:rPr>
              <w:t>Both modules</w:t>
            </w:r>
          </w:p>
        </w:tc>
      </w:tr>
      <w:tr>
        <w:tc>
          <w:tcPr>
            <w:tcW w:type="dxa" w:w="10080"/>
            <w:gridSpan w:val="4"/>
            <w:tcW w:w="10080" w:type="dxa"/>
            <w:shd w:val="clear" w:color="auto" w:fill="E8ECF2"/>
            <w:tcMar>
              <w:top w:w="90" w:type="dxa"/>
              <w:left w:w="120" w:type="dxa"/>
              <w:bottom w:w="90" w:type="dxa"/>
              <w:right w:w="120" w:type="dxa"/>
            </w:tcMar>
          </w:tcPr>
          <w:p>
            <w:pPr>
              <w:spacing w:before="0" w:after="0"/>
              <w:jc w:val="left"/>
            </w:pPr>
            <w:r/>
            <w:r>
              <w:rPr>
                <w:rFonts w:ascii="Calibri" w:hAnsi="Calibri"/>
                <w:b/>
                <w:color w:val="1F3556"/>
                <w:sz w:val="18"/>
              </w:rPr>
              <w:t>Shared Platform Kernel</w:t>
            </w:r>
          </w:p>
        </w:tc>
      </w:tr>
      <w:tr>
        <w:tc>
          <w:tcPr>
            <w:tcW w:type="dxa" w:w="2520"/>
            <w:tcW w:w="1560" w:type="dxa"/>
            <w:tcMar>
              <w:top w:w="80" w:type="dxa"/>
              <w:left w:w="120" w:type="dxa"/>
              <w:bottom w:w="80" w:type="dxa"/>
              <w:right w:w="120" w:type="dxa"/>
            </w:tcMar>
          </w:tcPr>
          <w:p>
            <w:pPr>
              <w:spacing w:before="0" w:after="0"/>
              <w:jc w:val="left"/>
            </w:pPr>
            <w:r/>
            <w:r>
              <w:rPr>
                <w:rFonts w:ascii="Calibri" w:hAnsi="Calibri"/>
                <w:b/>
                <w:color w:val="000000"/>
                <w:sz w:val="18"/>
              </w:rPr>
              <w:t>Security Kernel</w:t>
            </w:r>
          </w:p>
        </w:tc>
        <w:tc>
          <w:tcPr>
            <w:tcW w:type="dxa" w:w="2520"/>
            <w:tcW w:w="2900" w:type="dxa"/>
            <w:tcMar>
              <w:top w:w="80" w:type="dxa"/>
              <w:left w:w="120" w:type="dxa"/>
              <w:bottom w:w="80" w:type="dxa"/>
              <w:right w:w="120" w:type="dxa"/>
            </w:tcMar>
          </w:tcPr>
          <w:p>
            <w:pPr>
              <w:spacing w:before="0" w:after="0"/>
              <w:jc w:val="left"/>
            </w:pPr>
            <w:r/>
            <w:r>
              <w:rPr>
                <w:rFonts w:ascii="Calibri" w:hAnsi="Calibri"/>
                <w:b w:val="0"/>
                <w:color w:val="000000"/>
                <w:sz w:val="18"/>
              </w:rPr>
              <w:t>Issues and validates access tokens, encrypts and signs API envelopes, and evaluates permissions expressed as area and action.</w:t>
            </w:r>
          </w:p>
        </w:tc>
        <w:tc>
          <w:tcPr>
            <w:tcW w:type="dxa" w:w="2520"/>
            <w:tcW w:w="4420" w:type="dxa"/>
            <w:tcMar>
              <w:top w:w="80" w:type="dxa"/>
              <w:left w:w="120" w:type="dxa"/>
              <w:bottom w:w="80" w:type="dxa"/>
              <w:right w:w="120" w:type="dxa"/>
            </w:tcMar>
          </w:tcPr>
          <w:p>
            <w:pPr>
              <w:spacing w:before="0" w:after="0"/>
              <w:jc w:val="left"/>
            </w:pPr>
            <w:r/>
            <w:r>
              <w:rPr>
                <w:rFonts w:ascii="Calibri" w:hAnsi="Calibri"/>
                <w:b w:val="0"/>
                <w:color w:val="000000"/>
                <w:sz w:val="18"/>
              </w:rPr>
              <w:t>A single shared project referenced by both modules — not copied — so token, envelope and permission behaviour cannot fork between modules as the platform grows. AES payload encryption with HMAC-SHA256 signatures verified in fixed time. One permission grammar with wildcard support drives View, Add, Edit, Delete, Approve and Reject consistently on both the web and API tiers. New GRAC modules inherit this layer unchanged.</w:t>
            </w:r>
          </w:p>
        </w:tc>
        <w:tc>
          <w:tcPr>
            <w:tcW w:type="dxa" w:w="2520"/>
            <w:tcW w:w="1200" w:type="dxa"/>
            <w:tcMar>
              <w:top w:w="80" w:type="dxa"/>
              <w:left w:w="120" w:type="dxa"/>
              <w:bottom w:w="80" w:type="dxa"/>
              <w:right w:w="120" w:type="dxa"/>
            </w:tcMar>
          </w:tcPr>
          <w:p>
            <w:pPr>
              <w:spacing w:before="0" w:after="0"/>
              <w:jc w:val="left"/>
            </w:pPr>
            <w:r/>
            <w:r>
              <w:rPr>
                <w:rFonts w:ascii="Calibri" w:hAnsi="Calibri"/>
                <w:b w:val="0"/>
                <w:color w:val="000000"/>
                <w:sz w:val="18"/>
              </w:rPr>
              <w:t>Both modules</w:t>
            </w:r>
          </w:p>
        </w:tc>
      </w:tr>
      <w:tr>
        <w:tc>
          <w:tcPr>
            <w:tcW w:type="dxa" w:w="10080"/>
            <w:gridSpan w:val="4"/>
            <w:tcW w:w="10080" w:type="dxa"/>
            <w:shd w:val="clear" w:color="auto" w:fill="E8ECF2"/>
            <w:tcMar>
              <w:top w:w="90" w:type="dxa"/>
              <w:left w:w="120" w:type="dxa"/>
              <w:bottom w:w="90" w:type="dxa"/>
              <w:right w:w="120" w:type="dxa"/>
            </w:tcMar>
          </w:tcPr>
          <w:p>
            <w:pPr>
              <w:spacing w:before="0" w:after="0"/>
              <w:jc w:val="left"/>
            </w:pPr>
            <w:r/>
            <w:r>
              <w:rPr>
                <w:rFonts w:ascii="Calibri" w:hAnsi="Calibri"/>
                <w:b/>
                <w:color w:val="1F3556"/>
                <w:sz w:val="18"/>
              </w:rPr>
              <w:t>API Tier</w:t>
            </w:r>
          </w:p>
        </w:tc>
      </w:tr>
      <w:tr>
        <w:tc>
          <w:tcPr>
            <w:tcW w:type="dxa" w:w="2520"/>
            <w:tcW w:w="1560" w:type="dxa"/>
            <w:tcMar>
              <w:top w:w="80" w:type="dxa"/>
              <w:left w:w="120" w:type="dxa"/>
              <w:bottom w:w="80" w:type="dxa"/>
              <w:right w:w="120" w:type="dxa"/>
            </w:tcMar>
          </w:tcPr>
          <w:p>
            <w:pPr>
              <w:spacing w:before="0" w:after="0"/>
              <w:jc w:val="left"/>
            </w:pPr>
            <w:r/>
            <w:r>
              <w:rPr>
                <w:rFonts w:ascii="Calibri" w:hAnsi="Calibri"/>
                <w:b/>
                <w:color w:val="000000"/>
                <w:sz w:val="18"/>
              </w:rPr>
              <w:t>API Endpoint Layer</w:t>
            </w:r>
          </w:p>
        </w:tc>
        <w:tc>
          <w:tcPr>
            <w:tcW w:type="dxa" w:w="2520"/>
            <w:tcW w:w="2900" w:type="dxa"/>
            <w:tcMar>
              <w:top w:w="80" w:type="dxa"/>
              <w:left w:w="120" w:type="dxa"/>
              <w:bottom w:w="80" w:type="dxa"/>
              <w:right w:w="120" w:type="dxa"/>
            </w:tcMar>
          </w:tcPr>
          <w:p>
            <w:pPr>
              <w:spacing w:before="0" w:after="0"/>
              <w:jc w:val="left"/>
            </w:pPr>
            <w:r/>
            <w:r>
              <w:rPr>
                <w:rFonts w:ascii="Calibri" w:hAnsi="Calibri"/>
                <w:b w:val="0"/>
                <w:color w:val="000000"/>
                <w:sz w:val="18"/>
              </w:rPr>
              <w:t>Terminates requests from the web tier, re-establishes identity and permission, resolves the requested entity to its owning handler and returns the result.</w:t>
            </w:r>
          </w:p>
        </w:tc>
        <w:tc>
          <w:tcPr>
            <w:tcW w:type="dxa" w:w="2520"/>
            <w:tcW w:w="4420" w:type="dxa"/>
            <w:tcMar>
              <w:top w:w="80" w:type="dxa"/>
              <w:left w:w="120" w:type="dxa"/>
              <w:bottom w:w="80" w:type="dxa"/>
              <w:right w:w="120" w:type="dxa"/>
            </w:tcMar>
          </w:tcPr>
          <w:p>
            <w:pPr>
              <w:spacing w:before="0" w:after="0"/>
              <w:jc w:val="left"/>
            </w:pPr>
            <w:r/>
            <w:r>
              <w:rPr>
                <w:rFonts w:ascii="Calibri" w:hAnsi="Calibri"/>
                <w:b w:val="0"/>
                <w:color w:val="000000"/>
                <w:sz w:val="18"/>
              </w:rPr>
              <w:t>Control Management exposes two envelope endpoints — secure query and secure manage — for all entity traffic. Practice Management keeps that envelope surface and adds feature-scoped REST controllers on a uniform route convention, one per module, each independent of the others so capability is added without touching existing endpoints. Envelope traffic is protected against replay by a request-freshness window and single-use nonce.</w:t>
            </w:r>
          </w:p>
        </w:tc>
        <w:tc>
          <w:tcPr>
            <w:tcW w:type="dxa" w:w="2520"/>
            <w:tcW w:w="1200" w:type="dxa"/>
            <w:tcMar>
              <w:top w:w="80" w:type="dxa"/>
              <w:left w:w="120" w:type="dxa"/>
              <w:bottom w:w="80" w:type="dxa"/>
              <w:right w:w="120" w:type="dxa"/>
            </w:tcMar>
          </w:tcPr>
          <w:p>
            <w:pPr>
              <w:spacing w:before="0" w:after="0"/>
              <w:jc w:val="left"/>
            </w:pPr>
            <w:r/>
            <w:r>
              <w:rPr>
                <w:rFonts w:ascii="Calibri" w:hAnsi="Calibri"/>
                <w:b w:val="0"/>
                <w:color w:val="000000"/>
                <w:sz w:val="18"/>
              </w:rPr>
              <w:t>Both modules</w:t>
            </w:r>
          </w:p>
        </w:tc>
      </w:tr>
      <w:tr>
        <w:tc>
          <w:tcPr>
            <w:tcW w:type="dxa" w:w="2520"/>
            <w:tcW w:w="1560" w:type="dxa"/>
            <w:tcMar>
              <w:top w:w="80" w:type="dxa"/>
              <w:left w:w="120" w:type="dxa"/>
              <w:bottom w:w="80" w:type="dxa"/>
              <w:right w:w="120" w:type="dxa"/>
            </w:tcMar>
          </w:tcPr>
          <w:p>
            <w:pPr>
              <w:spacing w:before="0" w:after="0"/>
              <w:jc w:val="left"/>
            </w:pPr>
            <w:r/>
            <w:r>
              <w:rPr>
                <w:rFonts w:ascii="Calibri" w:hAnsi="Calibri"/>
                <w:b/>
                <w:color w:val="000000"/>
                <w:sz w:val="18"/>
              </w:rPr>
              <w:t>Validation &amp; Contract Layer</w:t>
            </w:r>
          </w:p>
        </w:tc>
        <w:tc>
          <w:tcPr>
            <w:tcW w:type="dxa" w:w="2520"/>
            <w:tcW w:w="2900" w:type="dxa"/>
            <w:tcMar>
              <w:top w:w="80" w:type="dxa"/>
              <w:left w:w="120" w:type="dxa"/>
              <w:bottom w:w="80" w:type="dxa"/>
              <w:right w:w="120" w:type="dxa"/>
            </w:tcMar>
          </w:tcPr>
          <w:p>
            <w:pPr>
              <w:spacing w:before="0" w:after="0"/>
              <w:jc w:val="left"/>
            </w:pPr>
            <w:r/>
            <w:r>
              <w:rPr>
                <w:rFonts w:ascii="Calibri" w:hAnsi="Calibri"/>
                <w:b w:val="0"/>
                <w:color w:val="000000"/>
                <w:sz w:val="18"/>
              </w:rPr>
              <w:t>Applies the input contract before anything reaches the database — permitted entity types, permitted actions, required fields per entity and the allowed status vocabulary.</w:t>
            </w:r>
          </w:p>
        </w:tc>
        <w:tc>
          <w:tcPr>
            <w:tcW w:type="dxa" w:w="2520"/>
            <w:tcW w:w="4420" w:type="dxa"/>
            <w:tcMar>
              <w:top w:w="80" w:type="dxa"/>
              <w:left w:w="120" w:type="dxa"/>
              <w:bottom w:w="80" w:type="dxa"/>
              <w:right w:w="120" w:type="dxa"/>
            </w:tcMar>
          </w:tcPr>
          <w:p>
            <w:pPr>
              <w:spacing w:before="0" w:after="0"/>
              <w:jc w:val="left"/>
            </w:pPr>
            <w:r/>
            <w:r>
              <w:rPr>
                <w:rFonts w:ascii="Calibri" w:hAnsi="Calibri"/>
                <w:b w:val="0"/>
                <w:color w:val="000000"/>
                <w:sz w:val="18"/>
              </w:rPr>
              <w:t>Entity types are an explicit allow-list rather than free text, so an unrecognised request fails closed. Required fields are declared per entity, with action-aware rules where one entity accepts several payload shapes. Database procedures re-validate independently, giving two enforcement points rather than one trusted caller.</w:t>
            </w:r>
          </w:p>
        </w:tc>
        <w:tc>
          <w:tcPr>
            <w:tcW w:type="dxa" w:w="2520"/>
            <w:tcW w:w="1200" w:type="dxa"/>
            <w:tcMar>
              <w:top w:w="80" w:type="dxa"/>
              <w:left w:w="120" w:type="dxa"/>
              <w:bottom w:w="80" w:type="dxa"/>
              <w:right w:w="120" w:type="dxa"/>
            </w:tcMar>
          </w:tcPr>
          <w:p>
            <w:pPr>
              <w:spacing w:before="0" w:after="0"/>
              <w:jc w:val="left"/>
            </w:pPr>
            <w:r/>
            <w:r>
              <w:rPr>
                <w:rFonts w:ascii="Calibri" w:hAnsi="Calibri"/>
                <w:b w:val="0"/>
                <w:color w:val="000000"/>
                <w:sz w:val="18"/>
              </w:rPr>
              <w:t>Control Mgmt</w:t>
            </w:r>
          </w:p>
        </w:tc>
      </w:tr>
      <w:tr>
        <w:tc>
          <w:tcPr>
            <w:tcW w:type="dxa" w:w="2520"/>
            <w:tcW w:w="1560" w:type="dxa"/>
            <w:tcMar>
              <w:top w:w="80" w:type="dxa"/>
              <w:left w:w="120" w:type="dxa"/>
              <w:bottom w:w="80" w:type="dxa"/>
              <w:right w:w="120" w:type="dxa"/>
            </w:tcMar>
          </w:tcPr>
          <w:p>
            <w:pPr>
              <w:spacing w:before="0" w:after="0"/>
              <w:jc w:val="left"/>
            </w:pPr>
            <w:r/>
            <w:r>
              <w:rPr>
                <w:rFonts w:ascii="Calibri" w:hAnsi="Calibri"/>
                <w:b/>
                <w:color w:val="000000"/>
                <w:sz w:val="18"/>
              </w:rPr>
              <w:t>Service Layer</w:t>
            </w:r>
          </w:p>
        </w:tc>
        <w:tc>
          <w:tcPr>
            <w:tcW w:type="dxa" w:w="2520"/>
            <w:tcW w:w="2900" w:type="dxa"/>
            <w:tcMar>
              <w:top w:w="80" w:type="dxa"/>
              <w:left w:w="120" w:type="dxa"/>
              <w:bottom w:w="80" w:type="dxa"/>
              <w:right w:w="120" w:type="dxa"/>
            </w:tcMar>
          </w:tcPr>
          <w:p>
            <w:pPr>
              <w:spacing w:before="0" w:after="0"/>
              <w:jc w:val="left"/>
            </w:pPr>
            <w:r/>
            <w:r>
              <w:rPr>
                <w:rFonts w:ascii="Calibri" w:hAnsi="Calibri"/>
                <w:b w:val="0"/>
                <w:color w:val="000000"/>
                <w:sz w:val="18"/>
              </w:rPr>
              <w:t>Translates a validated command into a parameterised stored-procedure call, manages the connection and transaction, and shapes results back into the response.</w:t>
            </w:r>
          </w:p>
        </w:tc>
        <w:tc>
          <w:tcPr>
            <w:tcW w:type="dxa" w:w="2520"/>
            <w:tcW w:w="4420" w:type="dxa"/>
            <w:tcMar>
              <w:top w:w="80" w:type="dxa"/>
              <w:left w:w="120" w:type="dxa"/>
              <w:bottom w:w="80" w:type="dxa"/>
              <w:right w:w="120" w:type="dxa"/>
            </w:tcMar>
          </w:tcPr>
          <w:p>
            <w:pPr>
              <w:spacing w:before="0" w:after="0"/>
              <w:jc w:val="left"/>
            </w:pPr>
            <w:r/>
            <w:r>
              <w:rPr>
                <w:rFonts w:ascii="Calibri" w:hAnsi="Calibri"/>
                <w:b w:val="0"/>
                <w:color w:val="000000"/>
                <w:sz w:val="18"/>
              </w:rPr>
              <w:t>Provider-agnostic data access — the database provider is a configuration value rather than a compile-time dependency. Every call is a stored procedure with named parameters: no dynamic SQL, no object-relational mapper, no query construction from user input. Practice Management organises this as one service per business capability, registered through per-module extension methods so a new capability is a single registration line.</w:t>
            </w:r>
          </w:p>
        </w:tc>
        <w:tc>
          <w:tcPr>
            <w:tcW w:type="dxa" w:w="2520"/>
            <w:tcW w:w="1200" w:type="dxa"/>
            <w:tcMar>
              <w:top w:w="80" w:type="dxa"/>
              <w:left w:w="120" w:type="dxa"/>
              <w:bottom w:w="80" w:type="dxa"/>
              <w:right w:w="120" w:type="dxa"/>
            </w:tcMar>
          </w:tcPr>
          <w:p>
            <w:pPr>
              <w:spacing w:before="0" w:after="0"/>
              <w:jc w:val="left"/>
            </w:pPr>
            <w:r/>
            <w:r>
              <w:rPr>
                <w:rFonts w:ascii="Calibri" w:hAnsi="Calibri"/>
                <w:b w:val="0"/>
                <w:color w:val="000000"/>
                <w:sz w:val="18"/>
              </w:rPr>
              <w:t>Both modules</w:t>
            </w:r>
          </w:p>
        </w:tc>
      </w:tr>
      <w:tr>
        <w:tc>
          <w:tcPr>
            <w:tcW w:type="dxa" w:w="2520"/>
            <w:tcW w:w="1560" w:type="dxa"/>
            <w:tcMar>
              <w:top w:w="80" w:type="dxa"/>
              <w:left w:w="120" w:type="dxa"/>
              <w:bottom w:w="80" w:type="dxa"/>
              <w:right w:w="120" w:type="dxa"/>
            </w:tcMar>
          </w:tcPr>
          <w:p>
            <w:pPr>
              <w:spacing w:before="0" w:after="0"/>
              <w:jc w:val="left"/>
            </w:pPr>
            <w:r/>
            <w:r>
              <w:rPr>
                <w:rFonts w:ascii="Calibri" w:hAnsi="Calibri"/>
                <w:b/>
                <w:color w:val="000000"/>
                <w:sz w:val="18"/>
              </w:rPr>
              <w:t>Background Processing Layer</w:t>
            </w:r>
          </w:p>
        </w:tc>
        <w:tc>
          <w:tcPr>
            <w:tcW w:type="dxa" w:w="2520"/>
            <w:tcW w:w="2900" w:type="dxa"/>
            <w:tcMar>
              <w:top w:w="80" w:type="dxa"/>
              <w:left w:w="120" w:type="dxa"/>
              <w:bottom w:w="80" w:type="dxa"/>
              <w:right w:w="120" w:type="dxa"/>
            </w:tcMar>
          </w:tcPr>
          <w:p>
            <w:pPr>
              <w:spacing w:before="0" w:after="0"/>
              <w:jc w:val="left"/>
            </w:pPr>
            <w:r/>
            <w:r>
              <w:rPr>
                <w:rFonts w:ascii="Calibri" w:hAnsi="Calibri"/>
                <w:b w:val="0"/>
                <w:color w:val="000000"/>
                <w:sz w:val="18"/>
              </w:rPr>
              <w:t>Performs the work that must happen whether or not a user is on screen — draining the event auto-raise queue into event instances, and sweeping tasks for due-soon, breached and escalation-due notifications.</w:t>
            </w:r>
          </w:p>
        </w:tc>
        <w:tc>
          <w:tcPr>
            <w:tcW w:type="dxa" w:w="2520"/>
            <w:tcW w:w="4420" w:type="dxa"/>
            <w:tcMar>
              <w:top w:w="80" w:type="dxa"/>
              <w:left w:w="120" w:type="dxa"/>
              <w:bottom w:w="80" w:type="dxa"/>
              <w:right w:w="120" w:type="dxa"/>
            </w:tcMar>
          </w:tcPr>
          <w:p>
            <w:pPr>
              <w:spacing w:before="0" w:after="0"/>
              <w:jc w:val="left"/>
            </w:pPr>
            <w:r/>
            <w:r>
              <w:rPr>
                <w:rFonts w:ascii="Calibri" w:hAnsi="Calibri"/>
                <w:b w:val="0"/>
                <w:color w:val="000000"/>
                <w:sz w:val="18"/>
              </w:rPr>
              <w:t>Implemented as framework-native hosted workers on a timer, with no external scheduler dependency to license or operate. Each pass is individually guarded so a failure is logged and the loop continues rather than affecting the API. Notification writes are de-duplicated at the database, making a repeated sweep safe. This is what turns an SLA into an enforced control rather than a screen label.</w:t>
            </w:r>
          </w:p>
        </w:tc>
        <w:tc>
          <w:tcPr>
            <w:tcW w:type="dxa" w:w="2520"/>
            <w:tcW w:w="1200" w:type="dxa"/>
            <w:tcMar>
              <w:top w:w="80" w:type="dxa"/>
              <w:left w:w="120" w:type="dxa"/>
              <w:bottom w:w="80" w:type="dxa"/>
              <w:right w:w="120" w:type="dxa"/>
            </w:tcMar>
          </w:tcPr>
          <w:p>
            <w:pPr>
              <w:spacing w:before="0" w:after="0"/>
              <w:jc w:val="left"/>
            </w:pPr>
            <w:r/>
            <w:r>
              <w:rPr>
                <w:rFonts w:ascii="Calibri" w:hAnsi="Calibri"/>
                <w:b w:val="0"/>
                <w:color w:val="000000"/>
                <w:sz w:val="18"/>
              </w:rPr>
              <w:t>Practice Mgmt</w:t>
            </w:r>
          </w:p>
        </w:tc>
      </w:tr>
      <w:tr>
        <w:tc>
          <w:tcPr>
            <w:tcW w:type="dxa" w:w="10080"/>
            <w:gridSpan w:val="4"/>
            <w:tcW w:w="10080" w:type="dxa"/>
            <w:shd w:val="clear" w:color="auto" w:fill="E8ECF2"/>
            <w:tcMar>
              <w:top w:w="90" w:type="dxa"/>
              <w:left w:w="120" w:type="dxa"/>
              <w:bottom w:w="90" w:type="dxa"/>
              <w:right w:w="120" w:type="dxa"/>
            </w:tcMar>
          </w:tcPr>
          <w:p>
            <w:pPr>
              <w:spacing w:before="0" w:after="0"/>
              <w:jc w:val="left"/>
            </w:pPr>
            <w:r/>
            <w:r>
              <w:rPr>
                <w:rFonts w:ascii="Calibri" w:hAnsi="Calibri"/>
                <w:b/>
                <w:color w:val="1F3556"/>
                <w:sz w:val="18"/>
              </w:rPr>
              <w:t>Data Tier — SQL Server</w:t>
            </w:r>
          </w:p>
        </w:tc>
      </w:tr>
      <w:tr>
        <w:tc>
          <w:tcPr>
            <w:tcW w:type="dxa" w:w="2520"/>
            <w:tcW w:w="1560" w:type="dxa"/>
            <w:tcMar>
              <w:top w:w="80" w:type="dxa"/>
              <w:left w:w="120" w:type="dxa"/>
              <w:bottom w:w="80" w:type="dxa"/>
              <w:right w:w="120" w:type="dxa"/>
            </w:tcMar>
          </w:tcPr>
          <w:p>
            <w:pPr>
              <w:spacing w:before="0" w:after="0"/>
              <w:jc w:val="left"/>
            </w:pPr>
            <w:r/>
            <w:r>
              <w:rPr>
                <w:rFonts w:ascii="Calibri" w:hAnsi="Calibri"/>
                <w:b/>
                <w:color w:val="000000"/>
                <w:sz w:val="18"/>
              </w:rPr>
              <w:t>Stored Procedure Layer</w:t>
            </w:r>
          </w:p>
        </w:tc>
        <w:tc>
          <w:tcPr>
            <w:tcW w:type="dxa" w:w="2520"/>
            <w:tcW w:w="2900" w:type="dxa"/>
            <w:tcMar>
              <w:top w:w="80" w:type="dxa"/>
              <w:left w:w="120" w:type="dxa"/>
              <w:bottom w:w="80" w:type="dxa"/>
              <w:right w:w="120" w:type="dxa"/>
            </w:tcMar>
          </w:tcPr>
          <w:p>
            <w:pPr>
              <w:spacing w:before="0" w:after="0"/>
              <w:jc w:val="left"/>
            </w:pPr>
            <w:r/>
            <w:r>
              <w:rPr>
                <w:rFonts w:ascii="Calibri" w:hAnsi="Calibri"/>
                <w:b w:val="0"/>
                <w:color w:val="000000"/>
                <w:sz w:val="18"/>
              </w:rPr>
              <w:t>Holds the business logic: field rules, code generation, mapping integrity, lifecycle transitions, SLA matching, scoring, owner resolution and every list and detail projection.</w:t>
            </w:r>
          </w:p>
        </w:tc>
        <w:tc>
          <w:tcPr>
            <w:tcW w:type="dxa" w:w="2520"/>
            <w:tcW w:w="4420" w:type="dxa"/>
            <w:tcMar>
              <w:top w:w="80" w:type="dxa"/>
              <w:left w:w="120" w:type="dxa"/>
              <w:bottom w:w="80" w:type="dxa"/>
              <w:right w:w="120" w:type="dxa"/>
            </w:tcMar>
          </w:tcPr>
          <w:p>
            <w:pPr>
              <w:spacing w:before="0" w:after="0"/>
              <w:jc w:val="left"/>
            </w:pPr>
            <w:r/>
            <w:r>
              <w:rPr>
                <w:rFonts w:ascii="Calibri" w:hAnsi="Calibri"/>
                <w:b w:val="0"/>
                <w:color w:val="000000"/>
                <w:sz w:val="18"/>
              </w:rPr>
              <w:t>Organised as one migration set per capability — schema, procedures and menu seed — each with a matching rollback script, so a release can be reversed without restoring the database. Menu rows and role permissions ship inside the same migration as the feature, so a screen and its access rights are never delivered separately. The application orchestrates; this layer decides.</w:t>
            </w:r>
          </w:p>
        </w:tc>
        <w:tc>
          <w:tcPr>
            <w:tcW w:type="dxa" w:w="2520"/>
            <w:tcW w:w="1200" w:type="dxa"/>
            <w:tcMar>
              <w:top w:w="80" w:type="dxa"/>
              <w:left w:w="120" w:type="dxa"/>
              <w:bottom w:w="80" w:type="dxa"/>
              <w:right w:w="120" w:type="dxa"/>
            </w:tcMar>
          </w:tcPr>
          <w:p>
            <w:pPr>
              <w:spacing w:before="0" w:after="0"/>
              <w:jc w:val="left"/>
            </w:pPr>
            <w:r/>
            <w:r>
              <w:rPr>
                <w:rFonts w:ascii="Calibri" w:hAnsi="Calibri"/>
                <w:b w:val="0"/>
                <w:color w:val="000000"/>
                <w:sz w:val="18"/>
              </w:rPr>
              <w:t>Both modules</w:t>
            </w:r>
          </w:p>
        </w:tc>
      </w:tr>
      <w:tr>
        <w:tc>
          <w:tcPr>
            <w:tcW w:type="dxa" w:w="2520"/>
            <w:tcW w:w="1560" w:type="dxa"/>
            <w:tcMar>
              <w:top w:w="80" w:type="dxa"/>
              <w:left w:w="120" w:type="dxa"/>
              <w:bottom w:w="80" w:type="dxa"/>
              <w:right w:w="120" w:type="dxa"/>
            </w:tcMar>
          </w:tcPr>
          <w:p>
            <w:pPr>
              <w:spacing w:before="0" w:after="0"/>
              <w:jc w:val="left"/>
            </w:pPr>
            <w:r/>
            <w:r>
              <w:rPr>
                <w:rFonts w:ascii="Calibri" w:hAnsi="Calibri"/>
                <w:b/>
                <w:color w:val="000000"/>
                <w:sz w:val="18"/>
              </w:rPr>
              <w:t>State Machine Framework</w:t>
            </w:r>
          </w:p>
        </w:tc>
        <w:tc>
          <w:tcPr>
            <w:tcW w:type="dxa" w:w="2520"/>
            <w:tcW w:w="2900" w:type="dxa"/>
            <w:tcMar>
              <w:top w:w="80" w:type="dxa"/>
              <w:left w:w="120" w:type="dxa"/>
              <w:bottom w:w="80" w:type="dxa"/>
              <w:right w:w="120" w:type="dxa"/>
            </w:tcMar>
          </w:tcPr>
          <w:p>
            <w:pPr>
              <w:spacing w:before="0" w:after="0"/>
              <w:jc w:val="left"/>
            </w:pPr>
            <w:r/>
            <w:r>
              <w:rPr>
                <w:rFonts w:ascii="Calibri" w:hAnsi="Calibri"/>
                <w:b w:val="0"/>
                <w:color w:val="000000"/>
                <w:sz w:val="18"/>
              </w:rPr>
              <w:t>A generic substrate every stateful entity plugs into, instead of each entity carrying its own status column and hard-coded transition logic.</w:t>
            </w:r>
          </w:p>
        </w:tc>
        <w:tc>
          <w:tcPr>
            <w:tcW w:type="dxa" w:w="2520"/>
            <w:tcW w:w="4420" w:type="dxa"/>
            <w:tcMar>
              <w:top w:w="80" w:type="dxa"/>
              <w:left w:w="120" w:type="dxa"/>
              <w:bottom w:w="80" w:type="dxa"/>
              <w:right w:w="120" w:type="dxa"/>
            </w:tcMar>
          </w:tcPr>
          <w:p>
            <w:pPr>
              <w:spacing w:before="0" w:after="0"/>
              <w:jc w:val="left"/>
            </w:pPr>
            <w:r/>
            <w:r>
              <w:rPr>
                <w:rFonts w:ascii="Calibri" w:hAnsi="Calibri"/>
                <w:b w:val="0"/>
                <w:color w:val="000000"/>
                <w:sz w:val="18"/>
              </w:rPr>
              <w:t>Statuses and legal transitions are data, held per entity type and optionally gated by actor role, with per-rule reason and approval requirements. A read-only probe answers whether a transition would succeed, so the interface disables illegal actions rather than failing after the click. Onboarding a new entity is seed data plus one foreign key — no new transition code.</w:t>
            </w:r>
          </w:p>
        </w:tc>
        <w:tc>
          <w:tcPr>
            <w:tcW w:type="dxa" w:w="2520"/>
            <w:tcW w:w="1200" w:type="dxa"/>
            <w:tcMar>
              <w:top w:w="80" w:type="dxa"/>
              <w:left w:w="120" w:type="dxa"/>
              <w:bottom w:w="80" w:type="dxa"/>
              <w:right w:w="120" w:type="dxa"/>
            </w:tcMar>
          </w:tcPr>
          <w:p>
            <w:pPr>
              <w:spacing w:before="0" w:after="0"/>
              <w:jc w:val="left"/>
            </w:pPr>
            <w:r/>
            <w:r>
              <w:rPr>
                <w:rFonts w:ascii="Calibri" w:hAnsi="Calibri"/>
                <w:b w:val="0"/>
                <w:color w:val="000000"/>
                <w:sz w:val="18"/>
              </w:rPr>
              <w:t>Practice Mgmt</w:t>
            </w:r>
          </w:p>
        </w:tc>
      </w:tr>
      <w:tr>
        <w:tc>
          <w:tcPr>
            <w:tcW w:type="dxa" w:w="2520"/>
            <w:tcW w:w="1560" w:type="dxa"/>
            <w:tcMar>
              <w:top w:w="80" w:type="dxa"/>
              <w:left w:w="120" w:type="dxa"/>
              <w:bottom w:w="80" w:type="dxa"/>
              <w:right w:w="120" w:type="dxa"/>
            </w:tcMar>
          </w:tcPr>
          <w:p>
            <w:pPr>
              <w:spacing w:before="0" w:after="0"/>
              <w:jc w:val="left"/>
            </w:pPr>
            <w:r/>
            <w:r>
              <w:rPr>
                <w:rFonts w:ascii="Calibri" w:hAnsi="Calibri"/>
                <w:b/>
                <w:color w:val="000000"/>
                <w:sz w:val="18"/>
              </w:rPr>
              <w:t>Authorisation Model</w:t>
            </w:r>
            <w:r>
              <w:rPr>
                <w:rFonts w:ascii="Calibri" w:hAnsi="Calibri"/>
                <w:b/>
                <w:color w:val="000000"/>
                <w:sz w:val="18"/>
              </w:rPr>
              <w:br/>
              <w:t>(Origin-Aware)</w:t>
            </w:r>
          </w:p>
        </w:tc>
        <w:tc>
          <w:tcPr>
            <w:tcW w:type="dxa" w:w="2520"/>
            <w:tcW w:w="2900" w:type="dxa"/>
            <w:tcMar>
              <w:top w:w="80" w:type="dxa"/>
              <w:left w:w="120" w:type="dxa"/>
              <w:bottom w:w="80" w:type="dxa"/>
              <w:right w:w="120" w:type="dxa"/>
            </w:tcMar>
          </w:tcPr>
          <w:p>
            <w:pPr>
              <w:spacing w:before="0" w:after="0"/>
              <w:jc w:val="left"/>
            </w:pPr>
            <w:r/>
            <w:r>
              <w:rPr>
                <w:rFonts w:ascii="Calibri" w:hAnsi="Calibri"/>
                <w:b w:val="0"/>
                <w:color w:val="000000"/>
                <w:sz w:val="18"/>
              </w:rPr>
              <w:t>Decides not only who may act, but on what kind of record — separating centrally published regulatory content from organisation-created content.</w:t>
            </w:r>
          </w:p>
        </w:tc>
        <w:tc>
          <w:tcPr>
            <w:tcW w:type="dxa" w:w="2520"/>
            <w:tcW w:w="4420" w:type="dxa"/>
            <w:tcMar>
              <w:top w:w="80" w:type="dxa"/>
              <w:left w:w="120" w:type="dxa"/>
              <w:bottom w:w="80" w:type="dxa"/>
              <w:right w:w="120" w:type="dxa"/>
            </w:tcMar>
          </w:tcPr>
          <w:p>
            <w:pPr>
              <w:spacing w:before="0" w:after="0"/>
              <w:jc w:val="left"/>
            </w:pPr>
            <w:r/>
            <w:r>
              <w:rPr>
                <w:rFonts w:ascii="Calibri" w:hAnsi="Calibri"/>
                <w:b w:val="0"/>
                <w:color w:val="000000"/>
                <w:sz w:val="18"/>
              </w:rPr>
              <w:t>Permission is evaluated as role, scope, origin and action, returning Allowed, Denied or Requires Approval. The third verdict lets governance route a sensitive action into an approval path instead of a flat refusal, which is what a regulated operating model actually needs. Resolution is most-specific-match then priority, with Denied winning ties and wildcard fallbacks ensuring unknown actions fail closed.</w:t>
            </w:r>
          </w:p>
        </w:tc>
        <w:tc>
          <w:tcPr>
            <w:tcW w:type="dxa" w:w="2520"/>
            <w:tcW w:w="1200" w:type="dxa"/>
            <w:tcMar>
              <w:top w:w="80" w:type="dxa"/>
              <w:left w:w="120" w:type="dxa"/>
              <w:bottom w:w="80" w:type="dxa"/>
              <w:right w:w="120" w:type="dxa"/>
            </w:tcMar>
          </w:tcPr>
          <w:p>
            <w:pPr>
              <w:spacing w:before="0" w:after="0"/>
              <w:jc w:val="left"/>
            </w:pPr>
            <w:r/>
            <w:r>
              <w:rPr>
                <w:rFonts w:ascii="Calibri" w:hAnsi="Calibri"/>
                <w:b w:val="0"/>
                <w:color w:val="000000"/>
                <w:sz w:val="18"/>
              </w:rPr>
              <w:t>Practice Mgmt</w:t>
            </w:r>
          </w:p>
        </w:tc>
      </w:tr>
      <w:tr>
        <w:tc>
          <w:tcPr>
            <w:tcW w:type="dxa" w:w="2520"/>
            <w:tcW w:w="1560" w:type="dxa"/>
            <w:tcMar>
              <w:top w:w="80" w:type="dxa"/>
              <w:left w:w="120" w:type="dxa"/>
              <w:bottom w:w="80" w:type="dxa"/>
              <w:right w:w="120" w:type="dxa"/>
            </w:tcMar>
          </w:tcPr>
          <w:p>
            <w:pPr>
              <w:spacing w:before="0" w:after="0"/>
              <w:jc w:val="left"/>
            </w:pPr>
            <w:r/>
            <w:r>
              <w:rPr>
                <w:rFonts w:ascii="Calibri" w:hAnsi="Calibri"/>
                <w:b/>
                <w:color w:val="000000"/>
                <w:sz w:val="18"/>
              </w:rPr>
              <w:t>Persistence &amp; Data Model</w:t>
            </w:r>
          </w:p>
        </w:tc>
        <w:tc>
          <w:tcPr>
            <w:tcW w:type="dxa" w:w="2520"/>
            <w:tcW w:w="2900" w:type="dxa"/>
            <w:tcMar>
              <w:top w:w="80" w:type="dxa"/>
              <w:left w:w="120" w:type="dxa"/>
              <w:bottom w:w="80" w:type="dxa"/>
              <w:right w:w="120" w:type="dxa"/>
            </w:tcMar>
          </w:tcPr>
          <w:p>
            <w:pPr>
              <w:spacing w:before="0" w:after="0"/>
              <w:jc w:val="left"/>
            </w:pPr>
            <w:r/>
            <w:r>
              <w:rPr>
                <w:rFonts w:ascii="Calibri" w:hAnsi="Calibri"/>
                <w:b w:val="0"/>
                <w:color w:val="000000"/>
                <w:sz w:val="18"/>
              </w:rPr>
              <w:t>Stores the regulatory repository in Control Management, and organisations, ownership, practices, tasks, gaps, exceptions, risks, assurance and controlled documents in Practice Management.</w:t>
            </w:r>
          </w:p>
        </w:tc>
        <w:tc>
          <w:tcPr>
            <w:tcW w:type="dxa" w:w="2520"/>
            <w:tcW w:w="4420" w:type="dxa"/>
            <w:tcMar>
              <w:top w:w="80" w:type="dxa"/>
              <w:left w:w="120" w:type="dxa"/>
              <w:bottom w:w="80" w:type="dxa"/>
              <w:right w:w="120" w:type="dxa"/>
            </w:tcMar>
          </w:tcPr>
          <w:p>
            <w:pPr>
              <w:spacing w:before="0" w:after="0"/>
              <w:jc w:val="left"/>
            </w:pPr>
            <w:r/>
            <w:r>
              <w:rPr>
                <w:rFonts w:ascii="Calibri" w:hAnsi="Calibri"/>
                <w:b w:val="0"/>
                <w:color w:val="000000"/>
                <w:sz w:val="18"/>
              </w:rPr>
              <w:t>Normalised, metadata-driven schema: artifact categories, node types and applicability rules are data, so no authority or framework name is embedded in application logic and a new framework is an onboarding exercise rather than a development one. Retirement is status-based rather than physical deletion, keeping history reconstructable. Document binaries are versioned separately from their register so earlier versions survive for audit.</w:t>
            </w:r>
          </w:p>
        </w:tc>
        <w:tc>
          <w:tcPr>
            <w:tcW w:type="dxa" w:w="2520"/>
            <w:tcW w:w="1200" w:type="dxa"/>
            <w:tcMar>
              <w:top w:w="80" w:type="dxa"/>
              <w:left w:w="120" w:type="dxa"/>
              <w:bottom w:w="80" w:type="dxa"/>
              <w:right w:w="120" w:type="dxa"/>
            </w:tcMar>
          </w:tcPr>
          <w:p>
            <w:pPr>
              <w:spacing w:before="0" w:after="0"/>
              <w:jc w:val="left"/>
            </w:pPr>
            <w:r/>
            <w:r>
              <w:rPr>
                <w:rFonts w:ascii="Calibri" w:hAnsi="Calibri"/>
                <w:b w:val="0"/>
                <w:color w:val="000000"/>
                <w:sz w:val="18"/>
              </w:rPr>
              <w:t>Both modules</w:t>
            </w:r>
          </w:p>
        </w:tc>
      </w:tr>
      <w:tr>
        <w:tc>
          <w:tcPr>
            <w:tcW w:type="dxa" w:w="2520"/>
            <w:tcW w:w="1560" w:type="dxa"/>
            <w:tcMar>
              <w:top w:w="80" w:type="dxa"/>
              <w:left w:w="120" w:type="dxa"/>
              <w:bottom w:w="80" w:type="dxa"/>
              <w:right w:w="120" w:type="dxa"/>
            </w:tcMar>
          </w:tcPr>
          <w:p>
            <w:pPr>
              <w:spacing w:before="0" w:after="0"/>
              <w:jc w:val="left"/>
            </w:pPr>
            <w:r/>
            <w:r>
              <w:rPr>
                <w:rFonts w:ascii="Calibri" w:hAnsi="Calibri"/>
                <w:b/>
                <w:color w:val="000000"/>
                <w:sz w:val="18"/>
              </w:rPr>
              <w:t>Workflow &amp; Approval Layer</w:t>
            </w:r>
          </w:p>
        </w:tc>
        <w:tc>
          <w:tcPr>
            <w:tcW w:type="dxa" w:w="2520"/>
            <w:tcW w:w="2900" w:type="dxa"/>
            <w:tcMar>
              <w:top w:w="80" w:type="dxa"/>
              <w:left w:w="120" w:type="dxa"/>
              <w:bottom w:w="80" w:type="dxa"/>
              <w:right w:w="120" w:type="dxa"/>
            </w:tcMar>
          </w:tcPr>
          <w:p>
            <w:pPr>
              <w:spacing w:before="0" w:after="0"/>
              <w:jc w:val="left"/>
            </w:pPr>
            <w:r/>
            <w:r>
              <w:rPr>
                <w:rFonts w:ascii="Calibri" w:hAnsi="Calibri"/>
                <w:b w:val="0"/>
                <w:color w:val="000000"/>
                <w:sz w:val="18"/>
              </w:rPr>
              <w:t>Enforces maker-checker approval on controlled entities, with multi-entity saves approved as one unit.</w:t>
            </w:r>
          </w:p>
        </w:tc>
        <w:tc>
          <w:tcPr>
            <w:tcW w:type="dxa" w:w="2520"/>
            <w:tcW w:w="4420" w:type="dxa"/>
            <w:tcMar>
              <w:top w:w="80" w:type="dxa"/>
              <w:left w:w="120" w:type="dxa"/>
              <w:bottom w:w="80" w:type="dxa"/>
              <w:right w:w="120" w:type="dxa"/>
            </w:tcMar>
          </w:tcPr>
          <w:p>
            <w:pPr>
              <w:spacing w:before="0" w:after="0"/>
              <w:jc w:val="left"/>
            </w:pPr>
            <w:r/>
            <w:r>
              <w:rPr>
                <w:rFonts w:ascii="Calibri" w:hAnsi="Calibri"/>
                <w:b w:val="0"/>
                <w:color w:val="000000"/>
                <w:sz w:val="18"/>
              </w:rPr>
              <w:t>Which entities require approval is registration data rather than a hard-coded list, so governance policy can change without a code release. A save spanning several related records is grouped and approved or rejected atomically, preventing a partially approved object.</w:t>
            </w:r>
          </w:p>
        </w:tc>
        <w:tc>
          <w:tcPr>
            <w:tcW w:type="dxa" w:w="2520"/>
            <w:tcW w:w="1200" w:type="dxa"/>
            <w:tcMar>
              <w:top w:w="80" w:type="dxa"/>
              <w:left w:w="120" w:type="dxa"/>
              <w:bottom w:w="80" w:type="dxa"/>
              <w:right w:w="120" w:type="dxa"/>
            </w:tcMar>
          </w:tcPr>
          <w:p>
            <w:pPr>
              <w:spacing w:before="0" w:after="0"/>
              <w:jc w:val="left"/>
            </w:pPr>
            <w:r/>
            <w:r>
              <w:rPr>
                <w:rFonts w:ascii="Calibri" w:hAnsi="Calibri"/>
                <w:b w:val="0"/>
                <w:color w:val="000000"/>
                <w:sz w:val="18"/>
              </w:rPr>
              <w:t>Control Mgmt</w:t>
            </w:r>
          </w:p>
        </w:tc>
      </w:tr>
      <w:tr>
        <w:tc>
          <w:tcPr>
            <w:tcW w:type="dxa" w:w="2520"/>
            <w:tcW w:w="1560" w:type="dxa"/>
            <w:tcMar>
              <w:top w:w="80" w:type="dxa"/>
              <w:left w:w="120" w:type="dxa"/>
              <w:bottom w:w="80" w:type="dxa"/>
              <w:right w:w="120" w:type="dxa"/>
            </w:tcMar>
          </w:tcPr>
          <w:p>
            <w:pPr>
              <w:spacing w:before="0" w:after="0"/>
              <w:jc w:val="left"/>
            </w:pPr>
            <w:r/>
            <w:r>
              <w:rPr>
                <w:rFonts w:ascii="Calibri" w:hAnsi="Calibri"/>
                <w:b/>
                <w:color w:val="000000"/>
                <w:sz w:val="18"/>
              </w:rPr>
              <w:t>Audit &amp; History Layer</w:t>
            </w:r>
          </w:p>
        </w:tc>
        <w:tc>
          <w:tcPr>
            <w:tcW w:type="dxa" w:w="2520"/>
            <w:tcW w:w="2900" w:type="dxa"/>
            <w:tcMar>
              <w:top w:w="80" w:type="dxa"/>
              <w:left w:w="120" w:type="dxa"/>
              <w:bottom w:w="80" w:type="dxa"/>
              <w:right w:w="120" w:type="dxa"/>
            </w:tcMar>
          </w:tcPr>
          <w:p>
            <w:pPr>
              <w:spacing w:before="0" w:after="0"/>
              <w:jc w:val="left"/>
            </w:pPr>
            <w:r/>
            <w:r>
              <w:rPr>
                <w:rFonts w:ascii="Calibri" w:hAnsi="Calibri"/>
                <w:b w:val="0"/>
                <w:color w:val="000000"/>
                <w:sz w:val="18"/>
              </w:rPr>
              <w:t>Records who changed what, when and why — across repository changes, state transitions, document lifecycle and approval decisions.</w:t>
            </w:r>
          </w:p>
        </w:tc>
        <w:tc>
          <w:tcPr>
            <w:tcW w:type="dxa" w:w="2520"/>
            <w:tcW w:w="4420" w:type="dxa"/>
            <w:tcMar>
              <w:top w:w="80" w:type="dxa"/>
              <w:left w:w="120" w:type="dxa"/>
              <w:bottom w:w="80" w:type="dxa"/>
              <w:right w:w="120" w:type="dxa"/>
            </w:tcMar>
          </w:tcPr>
          <w:p>
            <w:pPr>
              <w:spacing w:before="0" w:after="0"/>
              <w:jc w:val="left"/>
            </w:pPr>
            <w:r/>
            <w:r>
              <w:rPr>
                <w:rFonts w:ascii="Calibri" w:hAnsi="Calibri"/>
                <w:b w:val="0"/>
                <w:color w:val="000000"/>
                <w:sz w:val="18"/>
              </w:rPr>
              <w:t>Audit and transition-log tables are append-only, protected by database triggers that reject any update or delete attempt, so the trace cannot be altered through normal data manipulation even by a privileged account. Document history captures a typed change reason per event rather than duplicating every column on every change.</w:t>
            </w:r>
          </w:p>
        </w:tc>
        <w:tc>
          <w:tcPr>
            <w:tcW w:type="dxa" w:w="2520"/>
            <w:tcW w:w="1200" w:type="dxa"/>
            <w:tcMar>
              <w:top w:w="80" w:type="dxa"/>
              <w:left w:w="120" w:type="dxa"/>
              <w:bottom w:w="80" w:type="dxa"/>
              <w:right w:w="120" w:type="dxa"/>
            </w:tcMar>
          </w:tcPr>
          <w:p>
            <w:pPr>
              <w:spacing w:before="0" w:after="0"/>
              <w:jc w:val="left"/>
            </w:pPr>
            <w:r/>
            <w:r>
              <w:rPr>
                <w:rFonts w:ascii="Calibri" w:hAnsi="Calibri"/>
                <w:b w:val="0"/>
                <w:color w:val="000000"/>
                <w:sz w:val="18"/>
              </w:rPr>
              <w:t>Both modules</w:t>
            </w:r>
          </w:p>
        </w:tc>
      </w:tr>
      <w:tr>
        <w:tc>
          <w:tcPr>
            <w:tcW w:type="dxa" w:w="10080"/>
            <w:gridSpan w:val="4"/>
            <w:tcW w:w="10080" w:type="dxa"/>
            <w:shd w:val="clear" w:color="auto" w:fill="E8ECF2"/>
            <w:tcMar>
              <w:top w:w="90" w:type="dxa"/>
              <w:left w:w="120" w:type="dxa"/>
              <w:bottom w:w="90" w:type="dxa"/>
              <w:right w:w="120" w:type="dxa"/>
            </w:tcMar>
          </w:tcPr>
          <w:p>
            <w:pPr>
              <w:spacing w:before="0" w:after="0"/>
              <w:jc w:val="left"/>
            </w:pPr>
            <w:r/>
            <w:r>
              <w:rPr>
                <w:rFonts w:ascii="Calibri" w:hAnsi="Calibri"/>
                <w:b/>
                <w:color w:val="1F3556"/>
                <w:sz w:val="18"/>
              </w:rPr>
              <w:t>Cross-Cutting</w:t>
            </w:r>
          </w:p>
        </w:tc>
      </w:tr>
      <w:tr>
        <w:tc>
          <w:tcPr>
            <w:tcW w:type="dxa" w:w="2520"/>
            <w:tcW w:w="1560" w:type="dxa"/>
            <w:tcMar>
              <w:top w:w="80" w:type="dxa"/>
              <w:left w:w="120" w:type="dxa"/>
              <w:bottom w:w="80" w:type="dxa"/>
              <w:right w:w="120" w:type="dxa"/>
            </w:tcMar>
          </w:tcPr>
          <w:p>
            <w:pPr>
              <w:spacing w:before="0" w:after="0"/>
              <w:jc w:val="left"/>
            </w:pPr>
            <w:r/>
            <w:r>
              <w:rPr>
                <w:rFonts w:ascii="Calibri" w:hAnsi="Calibri"/>
                <w:b/>
                <w:color w:val="000000"/>
                <w:sz w:val="18"/>
              </w:rPr>
              <w:t>Configuration &amp; Secrets</w:t>
            </w:r>
          </w:p>
        </w:tc>
        <w:tc>
          <w:tcPr>
            <w:tcW w:type="dxa" w:w="2520"/>
            <w:tcW w:w="2900" w:type="dxa"/>
            <w:tcMar>
              <w:top w:w="80" w:type="dxa"/>
              <w:left w:w="120" w:type="dxa"/>
              <w:bottom w:w="80" w:type="dxa"/>
              <w:right w:w="120" w:type="dxa"/>
            </w:tcMar>
          </w:tcPr>
          <w:p>
            <w:pPr>
              <w:spacing w:before="0" w:after="0"/>
              <w:jc w:val="left"/>
            </w:pPr>
            <w:r/>
            <w:r>
              <w:rPr>
                <w:rFonts w:ascii="Calibri" w:hAnsi="Calibri"/>
                <w:b w:val="0"/>
                <w:color w:val="000000"/>
                <w:sz w:val="18"/>
              </w:rPr>
              <w:t>Supplies connection details, signing keys, allowed origins, mail settings and provider selection to both processes without redeployment.</w:t>
            </w:r>
          </w:p>
        </w:tc>
        <w:tc>
          <w:tcPr>
            <w:tcW w:type="dxa" w:w="2520"/>
            <w:tcW w:w="4420" w:type="dxa"/>
            <w:tcMar>
              <w:top w:w="80" w:type="dxa"/>
              <w:left w:w="120" w:type="dxa"/>
              <w:bottom w:w="80" w:type="dxa"/>
              <w:right w:w="120" w:type="dxa"/>
            </w:tcMar>
          </w:tcPr>
          <w:p>
            <w:pPr>
              <w:spacing w:before="0" w:after="0"/>
              <w:jc w:val="left"/>
            </w:pPr>
            <w:r/>
            <w:r>
              <w:rPr>
                <w:rFonts w:ascii="Calibri" w:hAnsi="Calibri"/>
                <w:b w:val="0"/>
                <w:color w:val="000000"/>
                <w:sz w:val="18"/>
              </w:rPr>
              <w:t>Standard configuration with environment-variable override. One shared connection resolver is used by every API service, and the web tier does not open its own database connection — a single, auditable data path. Production secrets are supplied by the deployment secret manager; the API refuses to perform signing operations if the configured key is below the enforced minimum length.</w:t>
            </w:r>
          </w:p>
        </w:tc>
        <w:tc>
          <w:tcPr>
            <w:tcW w:type="dxa" w:w="2520"/>
            <w:tcW w:w="1200" w:type="dxa"/>
            <w:tcMar>
              <w:top w:w="80" w:type="dxa"/>
              <w:left w:w="120" w:type="dxa"/>
              <w:bottom w:w="80" w:type="dxa"/>
              <w:right w:w="120" w:type="dxa"/>
            </w:tcMar>
          </w:tcPr>
          <w:p>
            <w:pPr>
              <w:spacing w:before="0" w:after="0"/>
              <w:jc w:val="left"/>
            </w:pPr>
            <w:r/>
            <w:r>
              <w:rPr>
                <w:rFonts w:ascii="Calibri" w:hAnsi="Calibri"/>
                <w:b w:val="0"/>
                <w:color w:val="000000"/>
                <w:sz w:val="18"/>
              </w:rPr>
              <w:t>Both modules</w:t>
            </w:r>
          </w:p>
        </w:tc>
      </w:tr>
      <w:tr>
        <w:tc>
          <w:tcPr>
            <w:tcW w:type="dxa" w:w="2520"/>
            <w:tcW w:w="1560" w:type="dxa"/>
            <w:tcMar>
              <w:top w:w="80" w:type="dxa"/>
              <w:left w:w="120" w:type="dxa"/>
              <w:bottom w:w="80" w:type="dxa"/>
              <w:right w:w="120" w:type="dxa"/>
            </w:tcMar>
          </w:tcPr>
          <w:p>
            <w:pPr>
              <w:spacing w:before="0" w:after="0"/>
              <w:jc w:val="left"/>
            </w:pPr>
            <w:r/>
            <w:r>
              <w:rPr>
                <w:rFonts w:ascii="Calibri" w:hAnsi="Calibri"/>
                <w:b/>
                <w:color w:val="000000"/>
                <w:sz w:val="18"/>
              </w:rPr>
              <w:t>Feature Flags &amp; Rollout</w:t>
            </w:r>
          </w:p>
        </w:tc>
        <w:tc>
          <w:tcPr>
            <w:tcW w:type="dxa" w:w="2520"/>
            <w:tcW w:w="2900" w:type="dxa"/>
            <w:tcMar>
              <w:top w:w="80" w:type="dxa"/>
              <w:left w:w="120" w:type="dxa"/>
              <w:bottom w:w="80" w:type="dxa"/>
              <w:right w:w="120" w:type="dxa"/>
            </w:tcMar>
          </w:tcPr>
          <w:p>
            <w:pPr>
              <w:spacing w:before="0" w:after="0"/>
              <w:jc w:val="left"/>
            </w:pPr>
            <w:r/>
            <w:r>
              <w:rPr>
                <w:rFonts w:ascii="Calibri" w:hAnsi="Calibri"/>
                <w:b w:val="0"/>
                <w:color w:val="000000"/>
                <w:sz w:val="18"/>
              </w:rPr>
              <w:t>Enables or disables individual screens and modules per organisation without a redeployment.</w:t>
            </w:r>
          </w:p>
        </w:tc>
        <w:tc>
          <w:tcPr>
            <w:tcW w:type="dxa" w:w="2520"/>
            <w:tcW w:w="4420" w:type="dxa"/>
            <w:tcMar>
              <w:top w:w="80" w:type="dxa"/>
              <w:left w:w="120" w:type="dxa"/>
              <w:bottom w:w="80" w:type="dxa"/>
              <w:right w:w="120" w:type="dxa"/>
            </w:tcMar>
          </w:tcPr>
          <w:p>
            <w:pPr>
              <w:spacing w:before="0" w:after="0"/>
              <w:jc w:val="left"/>
            </w:pPr>
            <w:r/>
            <w:r>
              <w:rPr>
                <w:rFonts w:ascii="Calibri" w:hAnsi="Calibri"/>
                <w:b w:val="0"/>
                <w:color w:val="000000"/>
                <w:sz w:val="18"/>
              </w:rPr>
              <w:t>The flag registry is database-held and probed only through the API tier. New modules ship disabled and are enabled per organisation by their own seed migration, which makes a controlled rollout a data change and a rollback immediate.</w:t>
            </w:r>
          </w:p>
        </w:tc>
        <w:tc>
          <w:tcPr>
            <w:tcW w:type="dxa" w:w="2520"/>
            <w:tcW w:w="1200" w:type="dxa"/>
            <w:tcMar>
              <w:top w:w="80" w:type="dxa"/>
              <w:left w:w="120" w:type="dxa"/>
              <w:bottom w:w="80" w:type="dxa"/>
              <w:right w:w="120" w:type="dxa"/>
            </w:tcMar>
          </w:tcPr>
          <w:p>
            <w:pPr>
              <w:spacing w:before="0" w:after="0"/>
              <w:jc w:val="left"/>
            </w:pPr>
            <w:r/>
            <w:r>
              <w:rPr>
                <w:rFonts w:ascii="Calibri" w:hAnsi="Calibri"/>
                <w:b w:val="0"/>
                <w:color w:val="000000"/>
                <w:sz w:val="18"/>
              </w:rPr>
              <w:t>Practice Mgmt</w:t>
            </w:r>
          </w:p>
        </w:tc>
      </w:tr>
      <w:tr>
        <w:tc>
          <w:tcPr>
            <w:tcW w:type="dxa" w:w="2520"/>
            <w:tcW w:w="1560" w:type="dxa"/>
            <w:tcMar>
              <w:top w:w="80" w:type="dxa"/>
              <w:left w:w="120" w:type="dxa"/>
              <w:bottom w:w="80" w:type="dxa"/>
              <w:right w:w="120" w:type="dxa"/>
            </w:tcMar>
          </w:tcPr>
          <w:p>
            <w:pPr>
              <w:spacing w:before="0" w:after="0"/>
              <w:jc w:val="left"/>
            </w:pPr>
            <w:r/>
            <w:r>
              <w:rPr>
                <w:rFonts w:ascii="Calibri" w:hAnsi="Calibri"/>
                <w:b/>
                <w:color w:val="000000"/>
                <w:sz w:val="18"/>
              </w:rPr>
              <w:t>Notification &amp; Email</w:t>
            </w:r>
          </w:p>
        </w:tc>
        <w:tc>
          <w:tcPr>
            <w:tcW w:type="dxa" w:w="2520"/>
            <w:tcW w:w="2900" w:type="dxa"/>
            <w:tcMar>
              <w:top w:w="80" w:type="dxa"/>
              <w:left w:w="120" w:type="dxa"/>
              <w:bottom w:w="80" w:type="dxa"/>
              <w:right w:w="120" w:type="dxa"/>
            </w:tcMar>
          </w:tcPr>
          <w:p>
            <w:pPr>
              <w:spacing w:before="0" w:after="0"/>
              <w:jc w:val="left"/>
            </w:pPr>
            <w:r/>
            <w:r>
              <w:rPr>
                <w:rFonts w:ascii="Calibri" w:hAnsi="Calibri"/>
                <w:b w:val="0"/>
                <w:color w:val="000000"/>
                <w:sz w:val="18"/>
              </w:rPr>
              <w:t>Delivers task and SLA notifications, and provisioning credentials for newly created organisation administrators.</w:t>
            </w:r>
          </w:p>
        </w:tc>
        <w:tc>
          <w:tcPr>
            <w:tcW w:type="dxa" w:w="2520"/>
            <w:tcW w:w="4420" w:type="dxa"/>
            <w:tcMar>
              <w:top w:w="80" w:type="dxa"/>
              <w:left w:w="120" w:type="dxa"/>
              <w:bottom w:w="80" w:type="dxa"/>
              <w:right w:w="120" w:type="dxa"/>
            </w:tcMar>
          </w:tcPr>
          <w:p>
            <w:pPr>
              <w:spacing w:before="0" w:after="0"/>
              <w:jc w:val="left"/>
            </w:pPr>
            <w:r/>
            <w:r>
              <w:rPr>
                <w:rFonts w:ascii="Calibri" w:hAnsi="Calibri"/>
                <w:b w:val="0"/>
                <w:color w:val="000000"/>
                <w:sz w:val="18"/>
              </w:rPr>
              <w:t>Notifications are written to a database outbox and de-duplicated there, decoupling delivery from the request that caused it. Credential mail is best-effort: a mail failure is logged but never rolls back the provisioning it accompanies, and only the password hash is passed to the API — plaintext credentials never reach the database.</w:t>
            </w:r>
          </w:p>
        </w:tc>
        <w:tc>
          <w:tcPr>
            <w:tcW w:type="dxa" w:w="2520"/>
            <w:tcW w:w="1200" w:type="dxa"/>
            <w:tcMar>
              <w:top w:w="80" w:type="dxa"/>
              <w:left w:w="120" w:type="dxa"/>
              <w:bottom w:w="80" w:type="dxa"/>
              <w:right w:w="120" w:type="dxa"/>
            </w:tcMar>
          </w:tcPr>
          <w:p>
            <w:pPr>
              <w:spacing w:before="0" w:after="0"/>
              <w:jc w:val="left"/>
            </w:pPr>
            <w:r/>
            <w:r>
              <w:rPr>
                <w:rFonts w:ascii="Calibri" w:hAnsi="Calibri"/>
                <w:b w:val="0"/>
                <w:color w:val="000000"/>
                <w:sz w:val="18"/>
              </w:rPr>
              <w:t>Practice Mgmt</w:t>
            </w:r>
          </w:p>
        </w:tc>
      </w:tr>
      <w:tr>
        <w:tc>
          <w:tcPr>
            <w:tcW w:type="dxa" w:w="2520"/>
            <w:tcW w:w="1560" w:type="dxa"/>
            <w:tcMar>
              <w:top w:w="80" w:type="dxa"/>
              <w:left w:w="120" w:type="dxa"/>
              <w:bottom w:w="80" w:type="dxa"/>
              <w:right w:w="120" w:type="dxa"/>
            </w:tcMar>
          </w:tcPr>
          <w:p>
            <w:pPr>
              <w:spacing w:before="0" w:after="0"/>
              <w:jc w:val="left"/>
            </w:pPr>
            <w:r/>
            <w:r>
              <w:rPr>
                <w:rFonts w:ascii="Calibri" w:hAnsi="Calibri"/>
                <w:b/>
                <w:color w:val="000000"/>
                <w:sz w:val="18"/>
              </w:rPr>
              <w:t>Observability &amp; Resilience</w:t>
            </w:r>
          </w:p>
        </w:tc>
        <w:tc>
          <w:tcPr>
            <w:tcW w:type="dxa" w:w="2520"/>
            <w:tcW w:w="2900" w:type="dxa"/>
            <w:tcMar>
              <w:top w:w="80" w:type="dxa"/>
              <w:left w:w="120" w:type="dxa"/>
              <w:bottom w:w="80" w:type="dxa"/>
              <w:right w:w="120" w:type="dxa"/>
            </w:tcMar>
          </w:tcPr>
          <w:p>
            <w:pPr>
              <w:spacing w:before="0" w:after="0"/>
              <w:jc w:val="left"/>
            </w:pPr>
            <w:r/>
            <w:r>
              <w:rPr>
                <w:rFonts w:ascii="Calibri" w:hAnsi="Calibri"/>
                <w:b w:val="0"/>
                <w:color w:val="000000"/>
                <w:sz w:val="18"/>
              </w:rPr>
              <w:t>Provides operational visibility and first-line abuse protection across both tiers.</w:t>
            </w:r>
          </w:p>
        </w:tc>
        <w:tc>
          <w:tcPr>
            <w:tcW w:type="dxa" w:w="2520"/>
            <w:tcW w:w="4420" w:type="dxa"/>
            <w:tcMar>
              <w:top w:w="80" w:type="dxa"/>
              <w:left w:w="120" w:type="dxa"/>
              <w:bottom w:w="80" w:type="dxa"/>
              <w:right w:w="120" w:type="dxa"/>
            </w:tcMar>
          </w:tcPr>
          <w:p>
            <w:pPr>
              <w:spacing w:before="0" w:after="0"/>
              <w:jc w:val="left"/>
            </w:pPr>
            <w:r/>
            <w:r>
              <w:rPr>
                <w:rFonts w:ascii="Calibri" w:hAnsi="Calibri"/>
                <w:b w:val="0"/>
                <w:color w:val="000000"/>
                <w:sz w:val="18"/>
              </w:rPr>
              <w:t>Structured logging on both processes, with business failures recorded without leaking payload content. Readiness endpoints on each API and a security diagnostics endpoint that reports token, key and permission state without exposing the key itself. Rate limiting on login and gateway paths, global exception handling and HSTS outside development.</w:t>
            </w:r>
          </w:p>
        </w:tc>
        <w:tc>
          <w:tcPr>
            <w:tcW w:type="dxa" w:w="2520"/>
            <w:tcW w:w="1200" w:type="dxa"/>
            <w:tcMar>
              <w:top w:w="80" w:type="dxa"/>
              <w:left w:w="120" w:type="dxa"/>
              <w:bottom w:w="80" w:type="dxa"/>
              <w:right w:w="120" w:type="dxa"/>
            </w:tcMar>
          </w:tcPr>
          <w:p>
            <w:pPr>
              <w:spacing w:before="0" w:after="0"/>
              <w:jc w:val="left"/>
            </w:pPr>
            <w:r/>
            <w:r>
              <w:rPr>
                <w:rFonts w:ascii="Calibri" w:hAnsi="Calibri"/>
                <w:b w:val="0"/>
                <w:color w:val="000000"/>
                <w:sz w:val="18"/>
              </w:rPr>
              <w:t>Both modules</w:t>
            </w:r>
          </w:p>
        </w:tc>
      </w:tr>
    </w:tbl>
    <w:p>
      <w:pPr>
        <w:spacing w:after="120" w:before="320"/>
      </w:pPr>
      <w:r>
        <w:rPr>
          <w:rFonts w:ascii="Calibri" w:hAnsi="Calibri"/>
          <w:b/>
          <w:color w:val="1F3556"/>
          <w:sz w:val="22"/>
        </w:rPr>
        <w:t>Module Scope</w:t>
      </w:r>
    </w:p>
    <w:tbl>
      <w:tblPr>
        <w:tblW w:type="auto" w:w="0"/>
        <w:tblLayout w:type="fixed"/>
        <w:tblLook w:firstColumn="1" w:firstRow="1" w:lastColumn="0" w:lastRow="0" w:noHBand="0" w:noVBand="1" w:val="04A0"/>
        <w:tblBorders>
          <w:top w:val="single" w:sz="4" w:color="B8C2CF"/>
          <w:left w:val="single" w:sz="4" w:color="B8C2CF"/>
          <w:bottom w:val="single" w:sz="4" w:color="B8C2CF"/>
          <w:right w:val="single" w:sz="4" w:color="B8C2CF"/>
          <w:insideH w:val="single" w:sz="2" w:color="D4DAE3"/>
          <w:insideV w:val="single" w:sz="2" w:color="D4DAE3"/>
        </w:tblBorders>
      </w:tblPr>
      <w:tblGrid>
        <w:gridCol w:w="5040"/>
        <w:gridCol w:w="5040"/>
      </w:tblGrid>
      <w:tr>
        <w:trPr>
          <w:tblHeader/>
        </w:trPr>
        <w:tc>
          <w:tcPr>
            <w:tcW w:type="dxa" w:w="5040"/>
            <w:tcW w:w="1900" w:type="dxa"/>
            <w:shd w:val="clear" w:color="auto" w:fill="1F3556"/>
            <w:tcMar>
              <w:top w:w="80" w:type="dxa"/>
              <w:left w:w="120" w:type="dxa"/>
              <w:bottom w:w="80" w:type="dxa"/>
              <w:right w:w="120" w:type="dxa"/>
            </w:tcMar>
          </w:tcPr>
          <w:p>
            <w:pPr>
              <w:spacing w:before="0" w:after="0"/>
              <w:jc w:val="left"/>
            </w:pPr>
            <w:r/>
            <w:r>
              <w:rPr>
                <w:rFonts w:ascii="Calibri" w:hAnsi="Calibri"/>
                <w:b/>
                <w:color w:val="FFFFFF"/>
                <w:sz w:val="18"/>
              </w:rPr>
              <w:t>Module</w:t>
            </w:r>
          </w:p>
        </w:tc>
        <w:tc>
          <w:tcPr>
            <w:tcW w:type="dxa" w:w="5040"/>
            <w:tcW w:w="8180" w:type="dxa"/>
            <w:shd w:val="clear" w:color="auto" w:fill="1F3556"/>
            <w:tcMar>
              <w:top w:w="80" w:type="dxa"/>
              <w:left w:w="120" w:type="dxa"/>
              <w:bottom w:w="80" w:type="dxa"/>
              <w:right w:w="120" w:type="dxa"/>
            </w:tcMar>
          </w:tcPr>
          <w:p>
            <w:pPr>
              <w:spacing w:before="0" w:after="0"/>
              <w:jc w:val="left"/>
            </w:pPr>
            <w:r/>
            <w:r>
              <w:rPr>
                <w:rFonts w:ascii="Calibri" w:hAnsi="Calibri"/>
                <w:b/>
                <w:color w:val="FFFFFF"/>
                <w:sz w:val="18"/>
              </w:rPr>
              <w:t>Scope</w:t>
            </w:r>
          </w:p>
        </w:tc>
      </w:tr>
      <w:tr>
        <w:tc>
          <w:tcPr>
            <w:tcW w:type="dxa" w:w="5040"/>
            <w:tcW w:w="1900" w:type="dxa"/>
            <w:tcMar>
              <w:top w:w="80" w:type="dxa"/>
              <w:left w:w="120" w:type="dxa"/>
              <w:bottom w:w="80" w:type="dxa"/>
              <w:right w:w="120" w:type="dxa"/>
            </w:tcMar>
          </w:tcPr>
          <w:p>
            <w:pPr>
              <w:spacing w:before="0" w:after="0"/>
              <w:jc w:val="left"/>
            </w:pPr>
            <w:r/>
            <w:r>
              <w:rPr>
                <w:rFonts w:ascii="Calibri" w:hAnsi="Calibri"/>
                <w:b/>
                <w:color w:val="000000"/>
                <w:sz w:val="18"/>
              </w:rPr>
              <w:t>Control Management</w:t>
            </w:r>
          </w:p>
        </w:tc>
        <w:tc>
          <w:tcPr>
            <w:tcW w:type="dxa" w:w="5040"/>
            <w:tcW w:w="8180" w:type="dxa"/>
            <w:tcMar>
              <w:top w:w="80" w:type="dxa"/>
              <w:left w:w="120" w:type="dxa"/>
              <w:bottom w:w="80" w:type="dxa"/>
              <w:right w:w="120" w:type="dxa"/>
            </w:tcMar>
          </w:tcPr>
          <w:p>
            <w:pPr>
              <w:spacing w:before="0" w:after="0"/>
              <w:jc w:val="left"/>
            </w:pPr>
            <w:r/>
            <w:r>
              <w:rPr>
                <w:rFonts w:ascii="Calibri" w:hAnsi="Calibri"/>
                <w:b w:val="0"/>
                <w:color w:val="000000"/>
                <w:sz w:val="18"/>
              </w:rPr>
              <w:t>The regulatory intelligence repository and change-management engine. Holds authorities, artifacts, releases, native source structure, framework statements, normalised controls, atomic requirements, a seven-type obligation taxonomy, evidence specifications and every mapping between them — plus change events, impact analysis and notification. It is the authoritative publisher of regulatory content for the platform.</w:t>
            </w:r>
          </w:p>
        </w:tc>
      </w:tr>
      <w:tr>
        <w:tc>
          <w:tcPr>
            <w:tcW w:type="dxa" w:w="5040"/>
            <w:tcW w:w="1900" w:type="dxa"/>
            <w:tcMar>
              <w:top w:w="80" w:type="dxa"/>
              <w:left w:w="120" w:type="dxa"/>
              <w:bottom w:w="80" w:type="dxa"/>
              <w:right w:w="120" w:type="dxa"/>
            </w:tcMar>
          </w:tcPr>
          <w:p>
            <w:pPr>
              <w:spacing w:before="0" w:after="0"/>
              <w:jc w:val="left"/>
            </w:pPr>
            <w:r/>
            <w:r>
              <w:rPr>
                <w:rFonts w:ascii="Calibri" w:hAnsi="Calibri"/>
                <w:b/>
                <w:color w:val="000000"/>
                <w:sz w:val="18"/>
              </w:rPr>
              <w:t>Practice Management</w:t>
            </w:r>
          </w:p>
        </w:tc>
        <w:tc>
          <w:tcPr>
            <w:tcW w:type="dxa" w:w="5040"/>
            <w:tcW w:w="8180" w:type="dxa"/>
            <w:tcMar>
              <w:top w:w="80" w:type="dxa"/>
              <w:left w:w="120" w:type="dxa"/>
              <w:bottom w:w="80" w:type="dxa"/>
              <w:right w:w="120" w:type="dxa"/>
            </w:tcMar>
          </w:tcPr>
          <w:p>
            <w:pPr>
              <w:spacing w:before="0" w:after="0"/>
              <w:jc w:val="left"/>
            </w:pPr>
            <w:r/>
            <w:r>
              <w:rPr>
                <w:rFonts w:ascii="Calibri" w:hAnsi="Calibri"/>
                <w:b w:val="0"/>
                <w:color w:val="000000"/>
                <w:sz w:val="18"/>
              </w:rPr>
              <w:t>The organisation-facing execution module. It adopts published regulatory content into each organisation and drives ownership, practices and instances, tasks, assurance definition through execution and observation, gaps, exceptions, risk, SLA governance and controlled documents with acknowledgement tracking.</w:t>
            </w:r>
          </w:p>
        </w:tc>
      </w:tr>
      <w:tr>
        <w:tc>
          <w:tcPr>
            <w:tcW w:type="dxa" w:w="5040"/>
            <w:tcW w:w="1900" w:type="dxa"/>
            <w:tcMar>
              <w:top w:w="80" w:type="dxa"/>
              <w:left w:w="120" w:type="dxa"/>
              <w:bottom w:w="80" w:type="dxa"/>
              <w:right w:w="120" w:type="dxa"/>
            </w:tcMar>
          </w:tcPr>
          <w:p>
            <w:pPr>
              <w:spacing w:before="0" w:after="0"/>
              <w:jc w:val="left"/>
            </w:pPr>
            <w:r/>
            <w:r>
              <w:rPr>
                <w:rFonts w:ascii="Calibri" w:hAnsi="Calibri"/>
                <w:b/>
                <w:color w:val="000000"/>
                <w:sz w:val="18"/>
              </w:rPr>
              <w:t>Relationship</w:t>
            </w:r>
          </w:p>
        </w:tc>
        <w:tc>
          <w:tcPr>
            <w:tcW w:type="dxa" w:w="5040"/>
            <w:tcW w:w="8180" w:type="dxa"/>
            <w:tcMar>
              <w:top w:w="80" w:type="dxa"/>
              <w:left w:w="120" w:type="dxa"/>
              <w:bottom w:w="80" w:type="dxa"/>
              <w:right w:w="120" w:type="dxa"/>
            </w:tcMar>
          </w:tcPr>
          <w:p>
            <w:pPr>
              <w:spacing w:before="0" w:after="0"/>
              <w:jc w:val="left"/>
            </w:pPr>
            <w:r/>
            <w:r>
              <w:rPr>
                <w:rFonts w:ascii="Calibri" w:hAnsi="Calibri"/>
                <w:b w:val="0"/>
                <w:color w:val="000000"/>
                <w:sz w:val="18"/>
              </w:rPr>
              <w:t>The two modules are separately deployable processes over a shared platform kernel and a common architectural pattern. Content flows one way — Control Management publishes, Practice Management adopts and executes — so the repository stays authoritative while each organisation's operating reality is held separately from it.</w:t>
            </w:r>
          </w:p>
        </w:tc>
      </w:tr>
    </w:tbl>
    <w:p>
      <w:pPr>
        <w:spacing w:after="80" w:before="320"/>
      </w:pPr>
      <w:r>
        <w:rPr>
          <w:rFonts w:ascii="Calibri" w:hAnsi="Calibri"/>
          <w:b/>
          <w:color w:val="1F3556"/>
          <w:sz w:val="22"/>
        </w:rPr>
        <w:t>Architectural Principles</w:t>
      </w:r>
    </w:p>
    <w:p>
      <w:pPr>
        <w:spacing w:after="80" w:before="0"/>
      </w:pPr>
      <w:r>
        <w:rPr>
          <w:rFonts w:ascii="Calibri" w:hAnsi="Calibri"/>
          <w:b w:val="0"/>
          <w:color w:val="000000"/>
          <w:sz w:val="20"/>
        </w:rPr>
        <w:t>1.  Layered with enforced boundaries. The browser collects and displays; the web tier authenticates and authorises; the API validates and orchestrates; the database decides. No business rule lives in the browser, and no user-supplied value reaches the database without passing a declared contract.</w:t>
      </w:r>
    </w:p>
    <w:p>
      <w:pPr>
        <w:spacing w:after="80" w:before="0"/>
      </w:pPr>
      <w:r>
        <w:rPr>
          <w:rFonts w:ascii="Calibri" w:hAnsi="Calibri"/>
          <w:b w:val="0"/>
          <w:color w:val="000000"/>
          <w:sz w:val="20"/>
        </w:rPr>
        <w:t>2.  Security enforced at more than one point. Session, CSRF and permission checks at the web tier are re-established at the API for envelope traffic and re-validated again inside the procedures, so no single component is a trusted caller.</w:t>
      </w:r>
    </w:p>
    <w:p>
      <w:pPr>
        <w:spacing w:after="80" w:before="0"/>
      </w:pPr>
      <w:r>
        <w:rPr>
          <w:rFonts w:ascii="Calibri" w:hAnsi="Calibri"/>
          <w:b w:val="0"/>
          <w:color w:val="000000"/>
          <w:sz w:val="20"/>
        </w:rPr>
        <w:t>3.  Metadata-driven rather than hard-coded. Frameworks, statuses, transitions, permissions, menus and feature availability are all data. Onboarding a new regulatory framework, status or screen is a configuration and migration exercise, not a development cycle.</w:t>
      </w:r>
    </w:p>
    <w:p>
      <w:pPr>
        <w:spacing w:after="80" w:before="0"/>
      </w:pPr>
      <w:r>
        <w:rPr>
          <w:rFonts w:ascii="Calibri" w:hAnsi="Calibri"/>
          <w:b w:val="0"/>
          <w:color w:val="000000"/>
          <w:sz w:val="20"/>
        </w:rPr>
        <w:t>4.  Additive by policy. New capability arrives as a new service, controller, registration and migration set rather than an edit to shared code — which is how Practice Management reached roughly twenty capabilities without destabilising the earlier ones.</w:t>
      </w:r>
    </w:p>
    <w:p>
      <w:pPr>
        <w:spacing w:after="80" w:before="0"/>
      </w:pPr>
      <w:r>
        <w:rPr>
          <w:rFonts w:ascii="Calibri" w:hAnsi="Calibri"/>
          <w:b w:val="0"/>
          <w:color w:val="000000"/>
          <w:sz w:val="20"/>
        </w:rPr>
        <w:t>5.  Reversible by construction. Every database change ships with a rollback script, and retirement is status-based rather than destructive, so both a release and a business decision can be undone.</w:t>
      </w:r>
    </w:p>
    <w:p>
      <w:pPr>
        <w:spacing w:after="80" w:before="0"/>
      </w:pPr>
      <w:r>
        <w:rPr>
          <w:rFonts w:ascii="Calibri" w:hAnsi="Calibri"/>
          <w:b w:val="0"/>
          <w:color w:val="000000"/>
          <w:sz w:val="20"/>
        </w:rPr>
        <w:t>6.  Audit-first. Approval decisions and change history are append-only and trigger-protected, on the assumption that the system will itself be audited.</w:t>
      </w:r>
    </w:p>
    <w:p>
      <w:pPr>
        <w:spacing w:after="80" w:before="320"/>
      </w:pPr>
      <w:r>
        <w:rPr>
          <w:rFonts w:ascii="Calibri" w:hAnsi="Calibri"/>
          <w:b/>
          <w:color w:val="1F3556"/>
          <w:sz w:val="22"/>
        </w:rPr>
        <w:t>Hardening Roadmap</w:t>
      </w:r>
    </w:p>
    <w:p>
      <w:pPr>
        <w:spacing w:after="160" w:before="0"/>
      </w:pPr>
      <w:r>
        <w:rPr>
          <w:rFonts w:ascii="Calibri" w:hAnsi="Calibri"/>
          <w:b w:val="0"/>
          <w:color w:val="000000"/>
          <w:sz w:val="20"/>
        </w:rPr>
        <w:t>The architecture above describes the platform as built. The following items are the planned engineering programme that takes it from a functionally complete, independently reviewable solution to a fully hardened production deployment. They are stated openly because each is scoped, contained within an existing layer boundary, and deliverable without redesign.</w:t>
      </w:r>
    </w:p>
    <w:tbl>
      <w:tblPr>
        <w:tblW w:type="auto" w:w="0"/>
        <w:tblLayout w:type="fixed"/>
        <w:tblLook w:firstColumn="1" w:firstRow="1" w:lastColumn="0" w:lastRow="0" w:noHBand="0" w:noVBand="1" w:val="04A0"/>
        <w:tblBorders>
          <w:top w:val="single" w:sz="4" w:color="B8C2CF"/>
          <w:left w:val="single" w:sz="4" w:color="B8C2CF"/>
          <w:bottom w:val="single" w:sz="4" w:color="B8C2CF"/>
          <w:right w:val="single" w:sz="4" w:color="B8C2CF"/>
          <w:insideH w:val="single" w:sz="2" w:color="D4DAE3"/>
          <w:insideV w:val="single" w:sz="2" w:color="D4DAE3"/>
        </w:tblBorders>
      </w:tblPr>
      <w:tblGrid>
        <w:gridCol w:w="5040"/>
        <w:gridCol w:w="5040"/>
      </w:tblGrid>
      <w:tr>
        <w:trPr>
          <w:tblHeader/>
        </w:trPr>
        <w:tc>
          <w:tcPr>
            <w:tcW w:type="dxa" w:w="5040"/>
            <w:tcW w:w="2700" w:type="dxa"/>
            <w:shd w:val="clear" w:color="auto" w:fill="1F3556"/>
            <w:tcMar>
              <w:top w:w="80" w:type="dxa"/>
              <w:left w:w="120" w:type="dxa"/>
              <w:bottom w:w="80" w:type="dxa"/>
              <w:right w:w="120" w:type="dxa"/>
            </w:tcMar>
          </w:tcPr>
          <w:p>
            <w:pPr>
              <w:spacing w:before="0" w:after="0"/>
              <w:jc w:val="left"/>
            </w:pPr>
            <w:r/>
            <w:r>
              <w:rPr>
                <w:rFonts w:ascii="Calibri" w:hAnsi="Calibri"/>
                <w:b/>
                <w:color w:val="FFFFFF"/>
                <w:sz w:val="18"/>
              </w:rPr>
              <w:t>Area</w:t>
            </w:r>
          </w:p>
        </w:tc>
        <w:tc>
          <w:tcPr>
            <w:tcW w:type="dxa" w:w="5040"/>
            <w:tcW w:w="7380" w:type="dxa"/>
            <w:shd w:val="clear" w:color="auto" w:fill="1F3556"/>
            <w:tcMar>
              <w:top w:w="80" w:type="dxa"/>
              <w:left w:w="120" w:type="dxa"/>
              <w:bottom w:w="80" w:type="dxa"/>
              <w:right w:w="120" w:type="dxa"/>
            </w:tcMar>
          </w:tcPr>
          <w:p>
            <w:pPr>
              <w:spacing w:before="0" w:after="0"/>
              <w:jc w:val="left"/>
            </w:pPr>
            <w:r/>
            <w:r>
              <w:rPr>
                <w:rFonts w:ascii="Calibri" w:hAnsi="Calibri"/>
                <w:b/>
                <w:color w:val="FFFFFF"/>
                <w:sz w:val="18"/>
              </w:rPr>
              <w:t>Planned Work</w:t>
            </w:r>
          </w:p>
        </w:tc>
      </w:tr>
      <w:tr>
        <w:tc>
          <w:tcPr>
            <w:tcW w:type="dxa" w:w="5040"/>
            <w:tcW w:w="2700" w:type="dxa"/>
            <w:tcMar>
              <w:top w:w="80" w:type="dxa"/>
              <w:left w:w="120" w:type="dxa"/>
              <w:bottom w:w="80" w:type="dxa"/>
              <w:right w:w="120" w:type="dxa"/>
            </w:tcMar>
          </w:tcPr>
          <w:p>
            <w:pPr>
              <w:spacing w:before="0" w:after="0"/>
              <w:jc w:val="left"/>
            </w:pPr>
            <w:r/>
            <w:r>
              <w:rPr>
                <w:rFonts w:ascii="Calibri" w:hAnsi="Calibri"/>
                <w:b/>
                <w:color w:val="000000"/>
                <w:sz w:val="18"/>
              </w:rPr>
              <w:t>API-tier authentication on feature endpoints</w:t>
            </w:r>
          </w:p>
        </w:tc>
        <w:tc>
          <w:tcPr>
            <w:tcW w:type="dxa" w:w="5040"/>
            <w:tcW w:w="7380" w:type="dxa"/>
            <w:tcMar>
              <w:top w:w="80" w:type="dxa"/>
              <w:left w:w="120" w:type="dxa"/>
              <w:bottom w:w="80" w:type="dxa"/>
              <w:right w:w="120" w:type="dxa"/>
            </w:tcMar>
          </w:tcPr>
          <w:p>
            <w:pPr>
              <w:spacing w:before="0" w:after="0"/>
              <w:jc w:val="left"/>
            </w:pPr>
            <w:r/>
            <w:r>
              <w:rPr>
                <w:rFonts w:ascii="Calibri" w:hAnsi="Calibri"/>
                <w:b w:val="0"/>
                <w:color w:val="000000"/>
                <w:sz w:val="18"/>
              </w:rPr>
              <w:t>The envelope surface re-authenticates independently at the API. The newer feature-scoped REST endpoints are currently authorised at the web tier and rely on the API not being publicly reachable. Extending independent token validation to those endpoints removes the dependency on network placement alone.</w:t>
            </w:r>
          </w:p>
        </w:tc>
      </w:tr>
      <w:tr>
        <w:tc>
          <w:tcPr>
            <w:tcW w:type="dxa" w:w="5040"/>
            <w:tcW w:w="2700" w:type="dxa"/>
            <w:tcMar>
              <w:top w:w="80" w:type="dxa"/>
              <w:left w:w="120" w:type="dxa"/>
              <w:bottom w:w="80" w:type="dxa"/>
              <w:right w:w="120" w:type="dxa"/>
            </w:tcMar>
          </w:tcPr>
          <w:p>
            <w:pPr>
              <w:spacing w:before="0" w:after="0"/>
              <w:jc w:val="left"/>
            </w:pPr>
            <w:r/>
            <w:r>
              <w:rPr>
                <w:rFonts w:ascii="Calibri" w:hAnsi="Calibri"/>
                <w:b/>
                <w:color w:val="000000"/>
                <w:sz w:val="18"/>
              </w:rPr>
              <w:t>Automated test suite and delivery pipeline</w:t>
            </w:r>
          </w:p>
        </w:tc>
        <w:tc>
          <w:tcPr>
            <w:tcW w:type="dxa" w:w="5040"/>
            <w:tcW w:w="7380" w:type="dxa"/>
            <w:tcMar>
              <w:top w:w="80" w:type="dxa"/>
              <w:left w:w="120" w:type="dxa"/>
              <w:bottom w:w="80" w:type="dxa"/>
              <w:right w:w="120" w:type="dxa"/>
            </w:tcMar>
          </w:tcPr>
          <w:p>
            <w:pPr>
              <w:spacing w:before="0" w:after="0"/>
              <w:jc w:val="left"/>
            </w:pPr>
            <w:r/>
            <w:r>
              <w:rPr>
                <w:rFonts w:ascii="Calibri" w:hAnsi="Calibri"/>
                <w:b w:val="0"/>
                <w:color w:val="000000"/>
                <w:sz w:val="18"/>
              </w:rPr>
              <w:t>Introduce unit and integration test projects covering the permission matrix, state-machine legality, validation contracts and the procedure dispatchers, wired into a continuous integration pipeline with the migration and rollback scripts exercised on every build.</w:t>
            </w:r>
          </w:p>
        </w:tc>
      </w:tr>
      <w:tr>
        <w:tc>
          <w:tcPr>
            <w:tcW w:type="dxa" w:w="5040"/>
            <w:tcW w:w="2700" w:type="dxa"/>
            <w:tcMar>
              <w:top w:w="80" w:type="dxa"/>
              <w:left w:w="120" w:type="dxa"/>
              <w:bottom w:w="80" w:type="dxa"/>
              <w:right w:w="120" w:type="dxa"/>
            </w:tcMar>
          </w:tcPr>
          <w:p>
            <w:pPr>
              <w:spacing w:before="0" w:after="0"/>
              <w:jc w:val="left"/>
            </w:pPr>
            <w:r/>
            <w:r>
              <w:rPr>
                <w:rFonts w:ascii="Calibri" w:hAnsi="Calibri"/>
                <w:b/>
                <w:color w:val="000000"/>
                <w:sz w:val="18"/>
              </w:rPr>
              <w:t>High-availability deployment</w:t>
            </w:r>
          </w:p>
        </w:tc>
        <w:tc>
          <w:tcPr>
            <w:tcW w:type="dxa" w:w="5040"/>
            <w:tcW w:w="7380" w:type="dxa"/>
            <w:tcMar>
              <w:top w:w="80" w:type="dxa"/>
              <w:left w:w="120" w:type="dxa"/>
              <w:bottom w:w="80" w:type="dxa"/>
              <w:right w:w="120" w:type="dxa"/>
            </w:tcMar>
          </w:tcPr>
          <w:p>
            <w:pPr>
              <w:spacing w:before="0" w:after="0"/>
              <w:jc w:val="left"/>
            </w:pPr>
            <w:r/>
            <w:r>
              <w:rPr>
                <w:rFonts w:ascii="Calibri" w:hAnsi="Calibri"/>
                <w:b w:val="0"/>
                <w:color w:val="000000"/>
                <w:sz w:val="18"/>
              </w:rPr>
              <w:t>The current design assumes a single API instance: replay-protection state is held in process memory and background workers run on an unelected timer. Moving to a shared cache for replay state and a leader-elected or database-locked worker allows multi-instance deployment behind a load balancer.</w:t>
            </w:r>
          </w:p>
        </w:tc>
      </w:tr>
      <w:tr>
        <w:tc>
          <w:tcPr>
            <w:tcW w:type="dxa" w:w="5040"/>
            <w:tcW w:w="2700" w:type="dxa"/>
            <w:tcMar>
              <w:top w:w="80" w:type="dxa"/>
              <w:left w:w="120" w:type="dxa"/>
              <w:bottom w:w="80" w:type="dxa"/>
              <w:right w:w="120" w:type="dxa"/>
            </w:tcMar>
          </w:tcPr>
          <w:p>
            <w:pPr>
              <w:spacing w:before="0" w:after="0"/>
              <w:jc w:val="left"/>
            </w:pPr>
            <w:r/>
            <w:r>
              <w:rPr>
                <w:rFonts w:ascii="Calibri" w:hAnsi="Calibri"/>
                <w:b/>
                <w:color w:val="000000"/>
                <w:sz w:val="18"/>
              </w:rPr>
              <w:t>Cryptography and identity modernisation</w:t>
            </w:r>
          </w:p>
        </w:tc>
        <w:tc>
          <w:tcPr>
            <w:tcW w:type="dxa" w:w="5040"/>
            <w:tcW w:w="7380" w:type="dxa"/>
            <w:tcMar>
              <w:top w:w="80" w:type="dxa"/>
              <w:left w:w="120" w:type="dxa"/>
              <w:bottom w:w="80" w:type="dxa"/>
              <w:right w:w="120" w:type="dxa"/>
            </w:tcMar>
          </w:tcPr>
          <w:p>
            <w:pPr>
              <w:spacing w:before="0" w:after="0"/>
              <w:jc w:val="left"/>
            </w:pPr>
            <w:r/>
            <w:r>
              <w:rPr>
                <w:rFonts w:ascii="Calibri" w:hAnsi="Calibri"/>
                <w:b w:val="0"/>
                <w:color w:val="000000"/>
                <w:sz w:val="18"/>
              </w:rPr>
              <w:t>Move the envelope to per-message initialisation vectors with an authenticated encryption mode, and migrate the access token to a standard signed-token format. Both are compatible with the existing kernel boundary, so the change is contained to one shared project.</w:t>
            </w:r>
          </w:p>
        </w:tc>
      </w:tr>
      <w:tr>
        <w:tc>
          <w:tcPr>
            <w:tcW w:type="dxa" w:w="5040"/>
            <w:tcW w:w="2700" w:type="dxa"/>
            <w:tcMar>
              <w:top w:w="80" w:type="dxa"/>
              <w:left w:w="120" w:type="dxa"/>
              <w:bottom w:w="80" w:type="dxa"/>
              <w:right w:w="120" w:type="dxa"/>
            </w:tcMar>
          </w:tcPr>
          <w:p>
            <w:pPr>
              <w:spacing w:before="0" w:after="0"/>
              <w:jc w:val="left"/>
            </w:pPr>
            <w:r/>
            <w:r>
              <w:rPr>
                <w:rFonts w:ascii="Calibri" w:hAnsi="Calibri"/>
                <w:b/>
                <w:color w:val="000000"/>
                <w:sz w:val="18"/>
              </w:rPr>
              <w:t>Secrets and configuration hardening</w:t>
            </w:r>
          </w:p>
        </w:tc>
        <w:tc>
          <w:tcPr>
            <w:tcW w:type="dxa" w:w="5040"/>
            <w:tcW w:w="7380" w:type="dxa"/>
            <w:tcMar>
              <w:top w:w="80" w:type="dxa"/>
              <w:left w:w="120" w:type="dxa"/>
              <w:bottom w:w="80" w:type="dxa"/>
              <w:right w:w="120" w:type="dxa"/>
            </w:tcMar>
          </w:tcPr>
          <w:p>
            <w:pPr>
              <w:spacing w:before="0" w:after="0"/>
              <w:jc w:val="left"/>
            </w:pPr>
            <w:r/>
            <w:r>
              <w:rPr>
                <w:rFonts w:ascii="Calibri" w:hAnsi="Calibri"/>
                <w:b w:val="0"/>
                <w:color w:val="000000"/>
                <w:sz w:val="18"/>
              </w:rPr>
              <w:t>Complete the migration of all environment-specific connection details and keys out of configuration files into the deployment secret manager, with key rotation procedures documented and rehearsed.</w:t>
            </w:r>
          </w:p>
        </w:tc>
      </w:tr>
      <w:tr>
        <w:tc>
          <w:tcPr>
            <w:tcW w:type="dxa" w:w="5040"/>
            <w:tcW w:w="2700" w:type="dxa"/>
            <w:tcMar>
              <w:top w:w="80" w:type="dxa"/>
              <w:left w:w="120" w:type="dxa"/>
              <w:bottom w:w="80" w:type="dxa"/>
              <w:right w:w="120" w:type="dxa"/>
            </w:tcMar>
          </w:tcPr>
          <w:p>
            <w:pPr>
              <w:spacing w:before="0" w:after="0"/>
              <w:jc w:val="left"/>
            </w:pPr>
            <w:r/>
            <w:r>
              <w:rPr>
                <w:rFonts w:ascii="Calibri" w:hAnsi="Calibri"/>
                <w:b/>
                <w:color w:val="000000"/>
                <w:sz w:val="18"/>
              </w:rPr>
              <w:t>Content-Security-Policy tightening</w:t>
            </w:r>
          </w:p>
        </w:tc>
        <w:tc>
          <w:tcPr>
            <w:tcW w:type="dxa" w:w="5040"/>
            <w:tcW w:w="7380" w:type="dxa"/>
            <w:tcMar>
              <w:top w:w="80" w:type="dxa"/>
              <w:left w:w="120" w:type="dxa"/>
              <w:bottom w:w="80" w:type="dxa"/>
              <w:right w:w="120" w:type="dxa"/>
            </w:tcMar>
          </w:tcPr>
          <w:p>
            <w:pPr>
              <w:spacing w:before="0" w:after="0"/>
              <w:jc w:val="left"/>
            </w:pPr>
            <w:r/>
            <w:r>
              <w:rPr>
                <w:rFonts w:ascii="Calibri" w:hAnsi="Calibri"/>
                <w:b w:val="0"/>
                <w:color w:val="000000"/>
                <w:sz w:val="18"/>
              </w:rPr>
              <w:t>Remove inline-script and inline-style allowances by adopting per-response nonces, closing the residual cross-site-scripting surface left by the current policy.</w:t>
            </w:r>
          </w:p>
        </w:tc>
      </w:tr>
      <w:tr>
        <w:tc>
          <w:tcPr>
            <w:tcW w:type="dxa" w:w="5040"/>
            <w:tcW w:w="2700" w:type="dxa"/>
            <w:tcMar>
              <w:top w:w="80" w:type="dxa"/>
              <w:left w:w="120" w:type="dxa"/>
              <w:bottom w:w="80" w:type="dxa"/>
              <w:right w:w="120" w:type="dxa"/>
            </w:tcMar>
          </w:tcPr>
          <w:p>
            <w:pPr>
              <w:spacing w:before="0" w:after="0"/>
              <w:jc w:val="left"/>
            </w:pPr>
            <w:r/>
            <w:r>
              <w:rPr>
                <w:rFonts w:ascii="Calibri" w:hAnsi="Calibri"/>
                <w:b/>
                <w:color w:val="000000"/>
                <w:sz w:val="18"/>
              </w:rPr>
              <w:t>Governance completeness</w:t>
            </w:r>
          </w:p>
        </w:tc>
        <w:tc>
          <w:tcPr>
            <w:tcW w:type="dxa" w:w="5040"/>
            <w:tcW w:w="7380" w:type="dxa"/>
            <w:tcMar>
              <w:top w:w="80" w:type="dxa"/>
              <w:left w:w="120" w:type="dxa"/>
              <w:bottom w:w="80" w:type="dxa"/>
              <w:right w:w="120" w:type="dxa"/>
            </w:tcMar>
          </w:tcPr>
          <w:p>
            <w:pPr>
              <w:spacing w:before="0" w:after="0"/>
              <w:jc w:val="left"/>
            </w:pPr>
            <w:r/>
            <w:r>
              <w:rPr>
                <w:rFonts w:ascii="Calibri" w:hAnsi="Calibri"/>
                <w:b w:val="0"/>
                <w:color w:val="000000"/>
                <w:sz w:val="18"/>
              </w:rPr>
              <w:t>Extend maker-checker coverage to the obligation typed-detail writes, which currently update directly, so every governed object follows one approval path.</w:t>
            </w:r>
          </w:p>
        </w:tc>
      </w:tr>
      <w:tr>
        <w:tc>
          <w:tcPr>
            <w:tcW w:type="dxa" w:w="5040"/>
            <w:tcW w:w="2700" w:type="dxa"/>
            <w:tcMar>
              <w:top w:w="80" w:type="dxa"/>
              <w:left w:w="120" w:type="dxa"/>
              <w:bottom w:w="80" w:type="dxa"/>
              <w:right w:w="120" w:type="dxa"/>
            </w:tcMar>
          </w:tcPr>
          <w:p>
            <w:pPr>
              <w:spacing w:before="0" w:after="0"/>
              <w:jc w:val="left"/>
            </w:pPr>
            <w:r/>
            <w:r>
              <w:rPr>
                <w:rFonts w:ascii="Calibri" w:hAnsi="Calibri"/>
                <w:b/>
                <w:color w:val="000000"/>
                <w:sz w:val="18"/>
              </w:rPr>
              <w:t>Enterprise integration</w:t>
            </w:r>
          </w:p>
        </w:tc>
        <w:tc>
          <w:tcPr>
            <w:tcW w:type="dxa" w:w="5040"/>
            <w:tcW w:w="7380" w:type="dxa"/>
            <w:tcMar>
              <w:top w:w="80" w:type="dxa"/>
              <w:left w:w="120" w:type="dxa"/>
              <w:bottom w:w="80" w:type="dxa"/>
              <w:right w:w="120" w:type="dxa"/>
            </w:tcMar>
          </w:tcPr>
          <w:p>
            <w:pPr>
              <w:spacing w:before="0" w:after="0"/>
              <w:jc w:val="left"/>
            </w:pPr>
            <w:r/>
            <w:r>
              <w:rPr>
                <w:rFonts w:ascii="Calibri" w:hAnsi="Calibri"/>
                <w:b w:val="0"/>
                <w:color w:val="000000"/>
                <w:sz w:val="18"/>
              </w:rPr>
              <w:t>Replace the standalone review login with the enterprise authentication adapter and directory role synchronisation. The repository and execution models are unaffected: integration is scoped to the authentication layer by design.</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