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556"/>
          <w:sz w:val="30"/>
          <w:szCs w:val="30"/>
        </w:rPr>
        <w:t xml:space="preserve">GRAC — Control Management Module</w:t>
      </w:r>
    </w:p>
    <w:p>
      <w:pPr>
        <w:pBdr>
          <w:bottom w:val="single" w:color="1F3556" w:sz="8" w:space="6"/>
        </w:pBdr>
        <w:spacing w:after="240"/>
      </w:pPr>
      <w:r>
        <w:rPr>
          <w:rFonts w:ascii="Calibri" w:cs="Calibri" w:eastAsia="Calibri" w:hAnsi="Calibri"/>
          <w:color w:val="4A5A70"/>
          <w:sz w:val="24"/>
          <w:szCs w:val="24"/>
        </w:rPr>
        <w:t xml:space="preserve">Technology Stack</w:t>
      </w:r>
    </w:p>
    <w:p>
      <w:pPr>
        <w:spacing w:after="240"/>
      </w:pPr>
      <w:r>
        <w:rPr>
          <w:rFonts w:ascii="Calibri" w:cs="Calibri" w:eastAsia="Calibri" w:hAnsi="Calibri"/>
          <w:sz w:val="20"/>
          <w:szCs w:val="20"/>
        </w:rPr>
        <w:t xml:space="preserve">The solution is delivered as a two-tier ASP.NET Core application — an MVC web front end and a separate Web API service layer — sharing a common security library and backed by Microsoft SQL Server. The table below lists each component, the technology used, its version, and relevant implementation notes.</w:t>
      </w:r>
    </w:p>
    <w:tbl>
      <w:tblPr>
        <w:tblW w:type="dxa" w:w="10080"/>
        <w:tblBorders>
          <w:top w:val="single" w:color="B8C2CF" w:sz="4"/>
          <w:left w:val="single" w:color="B8C2CF" w:sz="4"/>
          <w:bottom w:val="single" w:color="B8C2CF" w:sz="4"/>
          <w:right w:val="single" w:color="B8C2CF" w:sz="4"/>
          <w:insideH w:val="single" w:color="D4DAE3" w:sz="2"/>
          <w:insideV w:val="single" w:color="D4DAE3" w:sz="2"/>
        </w:tblBorders>
      </w:tblPr>
      <w:tblGrid>
        <w:gridCol w:w="2200"/>
        <w:gridCol w:w="2600"/>
        <w:gridCol w:w="1500"/>
        <w:gridCol w:w="3780"/>
      </w:tblGrid>
      <w:tr>
        <w:trPr>
          <w:tblHeader/>
        </w:trPr>
        <w:tc>
          <w:tcPr>
            <w:tcW w:type="dxa" w:w="22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8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10080"/>
            <w:gridSpan w:val="4"/>
            <w:shd w:fill="E8EC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556"/>
                <w:sz w:val="18"/>
                <w:szCs w:val="18"/>
              </w:rPr>
              <w:t xml:space="preserve">Platform &amp; Application Layer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Application Framework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.NET (ASP.NET Core)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8.0 (LTS)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Long-term support release providing a stable, vendor-supported platform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Programming Language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C#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Strongly typed, with nullable reference types enabled for compile-time safety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Web / Presentation Layer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ASP.NET Core MVC (Razor Views)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Server-rendered user interface with a same-origin secure gateway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API Layer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ASP.NET Core Web API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Independently deployable service layer exposing secured endpoints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Shared Security Library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.NET Class Library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Common encryption, token issuance and access-control enforcement</w:t>
            </w:r>
          </w:p>
        </w:tc>
      </w:tr>
      <w:tr>
        <w:tc>
          <w:tcPr>
            <w:tcW w:type="dxa" w:w="10080"/>
            <w:gridSpan w:val="4"/>
            <w:shd w:fill="E8EC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556"/>
                <w:sz w:val="18"/>
                <w:szCs w:val="18"/>
              </w:rPr>
              <w:t xml:space="preserve">Data Layer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Microsoft SQL Server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2019 / 2022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Normalised relational schema; target edition to be confirmed with the client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ADO.NET — Microsoft.Data.SqlClient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5.2.2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Stored-procedure only access, fully parameterised. No ORM dependency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Business Logic (Database)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T-SQL Stored Procedures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Versioned migration scripts, each with a matching rollback script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Audit &amp; Traceability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Append-only audit tables with database triggers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Immutable audit trail; status-based (soft) deletion, no physical delete</w:t>
            </w:r>
          </w:p>
        </w:tc>
      </w:tr>
      <w:tr>
        <w:tc>
          <w:tcPr>
            <w:tcW w:type="dxa" w:w="10080"/>
            <w:gridSpan w:val="4"/>
            <w:shd w:fill="E8EC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556"/>
                <w:sz w:val="18"/>
                <w:szCs w:val="18"/>
              </w:rPr>
              <w:t xml:space="preserve">User Interface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UI Template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AdminLTE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3.2.0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Enterprise admin theme aligned to the organisation visual standard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CSS Framework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Bootstrap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4.6.1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Responsive, cross-browser layout framework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JavaScript Library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jQuery / jQuery UI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3.6.0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Includes client-side form validation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 Grid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DataTables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1.11.4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Sorting, searching, pagination and export capability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Charting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Chart.js / ApexCharts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Bundled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Dashboard and analytics visualisations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Icons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Font Awesome, Phosphor Icons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Free / 2.x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Icon sets used across navigation and screens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Excel Processing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ClosedXML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0.104.1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Bulk and template-based spreadsheet import and export</w:t>
            </w:r>
          </w:p>
        </w:tc>
      </w:tr>
      <w:tr>
        <w:tc>
          <w:tcPr>
            <w:tcW w:type="dxa" w:w="10080"/>
            <w:gridSpan w:val="4"/>
            <w:shd w:fill="E8EC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556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Session cookie + signed short-lived token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HTTP-only, SameSite-strict cookie with configurable idle timeout; can be integrated with an enterprise identity provider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PBKDF2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Salted key derivation with forced password change on first login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Payload Security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AES-CBC envelope encryption + HMAC signature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Encrypted and signed request/response payloads with replay protection via timestamp and nonce validation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 Role-Based Access Control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Granular View / Add / Edit / Delete / Approve rights, enforced at both presentation and service layers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API Hardening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limiting, CORS, Antiforgery (CSRF), CSP and security headers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Built-in .NET 8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Configurable request throttling on authentication and service endpoints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Transport Encryption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TLS 1.2 / 1.3 (HTTPS)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HSTS and HTTPS redirection enforced in all non-development environments</w:t>
            </w:r>
          </w:p>
        </w:tc>
      </w:tr>
      <w:tr>
        <w:tc>
          <w:tcPr>
            <w:tcW w:type="dxa" w:w="10080"/>
            <w:gridSpan w:val="4"/>
            <w:shd w:fill="E8EC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556"/>
                <w:sz w:val="18"/>
                <w:szCs w:val="18"/>
              </w:rPr>
              <w:t xml:space="preserve">Deployment &amp; Tooling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Hosting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IIS (Windows Server) / Kestrel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IIS 10 or above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Supports root-site or virtual-directory deployment behind a reverse proxy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Runtime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.NET 8 Hosting Bundle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8.0.x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Presentation and service tiers deployed as independent applications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Build &amp; IDE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Visual Studio 2022 / dotnet CLI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17.x / 8.0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 framework build and publish toolchain, Release configuration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Source Control</w:t>
            </w:r>
          </w:p>
        </w:tc>
        <w:tc>
          <w:tcPr>
            <w:tcW w:type="dxa" w:w="26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150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80"/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Branch-based development with versioned database migration scripts</w:t>
            </w:r>
          </w:p>
        </w:tc>
      </w:tr>
    </w:tbl>
    <w:p>
      <w:pPr>
        <w:spacing w:after="80" w:before="280"/>
      </w:pPr>
      <w:r>
        <w:rPr>
          <w:rFonts w:ascii="Calibri" w:cs="Calibri" w:eastAsia="Calibri" w:hAnsi="Calibri"/>
          <w:b/>
          <w:bCs/>
          <w:color w:val="1F3556"/>
          <w:sz w:val="22"/>
          <w:szCs w:val="22"/>
        </w:rPr>
        <w:t xml:space="preserve">Notes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1.  .NET 8 is a Long-Term Support release, providing a stable and supported platform for the delivery and warranty period.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2.  All database access is routed through stored procedures with parameterised inputs, eliminating dynamic SQL injection risk at the application layer.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3.  Service tokens and encryption material are never exposed to browser-side scripts; all service traffic is encrypted and signed server-side.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4.  The target SQL Server version and edition are to be confirmed against the client environment prior to sign-off.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5.  Production secrets (connection strings and token signing keys) are supplied through the deployment secret manager and are not stored in configuration files.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2026-08-19T08:54:30.682Z</dcterms:created>
  <dcterms:modified xsi:type="dcterms:W3CDTF">2026-08-19T08:54:30.683Z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