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rFonts w:ascii="Calibri" w:hAnsi="Calibri"/>
          <w:b/>
          <w:color w:val="1F3556"/>
          <w:sz w:val="30"/>
        </w:rPr>
        <w:t>GRAC — Practice Management Module</w:t>
      </w:r>
    </w:p>
    <w:p>
      <w:pPr>
        <w:spacing w:after="240" w:before="0"/>
      </w:pPr>
      <w:r>
        <w:rPr>
          <w:rFonts w:ascii="Calibri" w:hAnsi="Calibri"/>
          <w:b w:val="0"/>
          <w:color w:val="4A5A70"/>
          <w:sz w:val="24"/>
        </w:rPr>
        <w:t>Solution Architecture</w:t>
      </w:r>
    </w:p>
    <w:p>
      <w:pPr>
        <w:spacing w:after="240" w:before="0"/>
      </w:pPr>
      <w:r>
        <w:rPr>
          <w:rFonts w:ascii="Calibri" w:hAnsi="Calibri"/>
          <w:b w:val="0"/>
          <w:color w:val="000000"/>
          <w:sz w:val="20"/>
        </w:rPr>
        <w:t>Practice Management is the organisation-facing execution module: it takes the regulatory content published by Control Management and drives adoption, ownership, tasks, assurance, gaps, exceptions, risk and controlled documents inside each organisation. It is built as a layered, two-process ASP.NET Core solution over SQL Server, reusing the shared GRAC security kernel. Each layer below states what it does and the characteristics that make it fit for a multi-organisation, audit-bound workload.</w:t>
      </w:r>
    </w:p>
    <w:tbl>
      <w:tblPr>
        <w:tblW w:type="auto" w:w="0"/>
        <w:tblLayout w:type="fixed"/>
        <w:tblLook w:firstColumn="1" w:firstRow="1" w:lastColumn="0" w:lastRow="0" w:noHBand="0" w:noVBand="1" w:val="04A0"/>
        <w:tblBorders>
          <w:top w:val="single" w:sz="4" w:color="B8C2CF"/>
          <w:left w:val="single" w:sz="4" w:color="B8C2CF"/>
          <w:bottom w:val="single" w:sz="4" w:color="B8C2CF"/>
          <w:right w:val="single" w:sz="4" w:color="B8C2CF"/>
          <w:insideH w:val="single" w:sz="2" w:color="D4DAE3"/>
          <w:insideV w:val="single" w:sz="2" w:color="D4DAE3"/>
        </w:tblBorders>
      </w:tblPr>
      <w:tblGrid>
        <w:gridCol w:w="3360"/>
        <w:gridCol w:w="3360"/>
        <w:gridCol w:w="3360"/>
      </w:tblGrid>
      <w:tr>
        <w:trPr>
          <w:tblHeader/>
        </w:trPr>
        <w:tc>
          <w:tcPr>
            <w:tcW w:type="dxa" w:w="3360"/>
            <w:tcW w:w="1800" w:type="dxa"/>
            <w:shd w:val="clear" w:color="auto" w:fill="1F3556"/>
            <w:tcMar>
              <w:top w:w="80" w:type="dxa"/>
              <w:left w:w="120" w:type="dxa"/>
              <w:bottom w:w="80" w:type="dxa"/>
              <w:right w:w="120" w:type="dxa"/>
            </w:tcMar>
          </w:tcPr>
          <w:p>
            <w:pPr>
              <w:spacing w:before="0" w:after="0"/>
              <w:jc w:val="left"/>
            </w:pPr>
            <w:r/>
            <w:r>
              <w:rPr>
                <w:rFonts w:ascii="Calibri" w:hAnsi="Calibri"/>
                <w:b/>
                <w:color w:val="FFFFFF"/>
                <w:sz w:val="18"/>
              </w:rPr>
              <w:t>Layer</w:t>
            </w:r>
          </w:p>
        </w:tc>
        <w:tc>
          <w:tcPr>
            <w:tcW w:type="dxa" w:w="3360"/>
            <w:tcW w:w="3600" w:type="dxa"/>
            <w:shd w:val="clear" w:color="auto" w:fill="1F3556"/>
            <w:tcMar>
              <w:top w:w="80" w:type="dxa"/>
              <w:left w:w="120" w:type="dxa"/>
              <w:bottom w:w="80" w:type="dxa"/>
              <w:right w:w="120" w:type="dxa"/>
            </w:tcMar>
          </w:tcPr>
          <w:p>
            <w:pPr>
              <w:spacing w:before="0" w:after="0"/>
              <w:jc w:val="left"/>
            </w:pPr>
            <w:r/>
            <w:r>
              <w:rPr>
                <w:rFonts w:ascii="Calibri" w:hAnsi="Calibri"/>
                <w:b/>
                <w:color w:val="FFFFFF"/>
                <w:sz w:val="18"/>
              </w:rPr>
              <w:t>Function</w:t>
            </w:r>
          </w:p>
        </w:tc>
        <w:tc>
          <w:tcPr>
            <w:tcW w:type="dxa" w:w="3360"/>
            <w:tcW w:w="4680" w:type="dxa"/>
            <w:shd w:val="clear" w:color="auto" w:fill="1F3556"/>
            <w:tcMar>
              <w:top w:w="80" w:type="dxa"/>
              <w:left w:w="120" w:type="dxa"/>
              <w:bottom w:w="80" w:type="dxa"/>
              <w:right w:w="120" w:type="dxa"/>
            </w:tcMar>
          </w:tcPr>
          <w:p>
            <w:pPr>
              <w:spacing w:before="0" w:after="0"/>
              <w:jc w:val="left"/>
            </w:pPr>
            <w:r/>
            <w:r>
              <w:rPr>
                <w:rFonts w:ascii="Calibri" w:hAnsi="Calibri"/>
                <w:b/>
                <w:color w:val="FFFFFF"/>
                <w:sz w:val="18"/>
              </w:rPr>
              <w:t>Key Characteristics</w:t>
            </w:r>
          </w:p>
        </w:tc>
      </w:tr>
      <w:tr>
        <w:tc>
          <w:tcPr>
            <w:tcW w:type="dxa" w:w="10080"/>
            <w:gridSpan w:val="3"/>
            <w:tcW w:w="10080" w:type="dxa"/>
            <w:shd w:val="clear" w:color="auto" w:fill="E8ECF2"/>
            <w:tcMar>
              <w:top w:w="90" w:type="dxa"/>
              <w:left w:w="120" w:type="dxa"/>
              <w:bottom w:w="90" w:type="dxa"/>
              <w:right w:w="120" w:type="dxa"/>
            </w:tcMar>
          </w:tcPr>
          <w:p>
            <w:pPr>
              <w:spacing w:before="0" w:after="0"/>
              <w:jc w:val="left"/>
            </w:pPr>
            <w:r/>
            <w:r>
              <w:rPr>
                <w:rFonts w:ascii="Calibri" w:hAnsi="Calibri"/>
                <w:b/>
                <w:color w:val="1F3556"/>
                <w:sz w:val="18"/>
              </w:rPr>
              <w:t>Client Tier</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Presentation Layer</w:t>
            </w:r>
            <w:r>
              <w:rPr>
                <w:rFonts w:ascii="Calibri" w:hAnsi="Calibri"/>
                <w:b/>
                <w:color w:val="000000"/>
                <w:sz w:val="18"/>
              </w:rPr>
              <w:br/>
              <w:t>(Browser UI)</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Renders the practice workspace — dashboard, calendar, task centre, gap centre, exception centre, risk centre, document register, organisation assurance screens and the workflow console. Collects input, previews documents and calls same-origin web endpoints.</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Razor views composed from a single Manage.cshtml shell plus ~35 screen partials, so a new screen is an additive partial rather than a new page. Plain ES module JavaScript, no SPA framework. Holds no API token, key or connection string. Strict Content-Security-Policy, widened only for blob: so PDFs can be previewed client-side; frame-ancestors none.</w:t>
            </w:r>
          </w:p>
        </w:tc>
      </w:tr>
      <w:tr>
        <w:tc>
          <w:tcPr>
            <w:tcW w:type="dxa" w:w="10080"/>
            <w:gridSpan w:val="3"/>
            <w:tcW w:w="10080" w:type="dxa"/>
            <w:shd w:val="clear" w:color="auto" w:fill="E8ECF2"/>
            <w:tcMar>
              <w:top w:w="90" w:type="dxa"/>
              <w:left w:w="120" w:type="dxa"/>
              <w:bottom w:w="90" w:type="dxa"/>
              <w:right w:w="120" w:type="dxa"/>
            </w:tcMar>
          </w:tcPr>
          <w:p>
            <w:pPr>
              <w:spacing w:before="0" w:after="0"/>
              <w:jc w:val="left"/>
            </w:pPr>
            <w:r/>
            <w:r>
              <w:rPr>
                <w:rFonts w:ascii="Calibri" w:hAnsi="Calibri"/>
                <w:b/>
                <w:color w:val="1F3556"/>
                <w:sz w:val="18"/>
              </w:rPr>
              <w:t>Web Tier — PracticeManagement.Web</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Web Application Layer</w:t>
            </w:r>
            <w:r>
              <w:rPr>
                <w:rFonts w:ascii="Calibri" w:hAnsi="Calibri"/>
                <w:b/>
                <w:color w:val="000000"/>
                <w:sz w:val="18"/>
              </w:rPr>
              <w:br/>
              <w:t>(MVC Host)</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Hosts the UI, owns the session, builds the role- and organisation-filtered menu, and serves two distinct front doors — Practice Management and Organization Management — from one process.</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ASP.NET Core MVC with explicit ordered route registration so the two module surfaces cannot capture each other's URLs. Session cookie HttpOnly, SameSite=Strict, Secure outside development, 30-minute idle timeout. Forwarded-headers and PathBase support for publishing under an IIS virtual directory. Login rate-limited to 5 attempts per minute per IP.</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Organisation Scope Layer</w:t>
            </w:r>
            <w:r>
              <w:rPr>
                <w:rFonts w:ascii="Calibri" w:hAnsi="Calibri"/>
                <w:b/>
                <w:color w:val="000000"/>
                <w:sz w:val="18"/>
              </w:rPr>
              <w:br/>
              <w:t>(Multi-Tenant Guard)</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Decides which organisation's data the signed-in user may touch, on every request, before anything is forwarded to the API.</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Session carries data scope, primary organisation and the allowed-organisation list. A single shared helper resolves GLOBAL scope (GRAC Admin) versus organisation-scoped users — the rule lives in one place precisely so it cannot drift into a cross-organisation data leak. Organisation context is injected into the outbound payload; it is never taken on trust from the browser.</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Security Gateway Layer</w:t>
            </w:r>
            <w:r>
              <w:rPr>
                <w:rFonts w:ascii="Calibri" w:hAnsi="Calibri"/>
                <w:b/>
                <w:color w:val="000000"/>
                <w:sz w:val="18"/>
              </w:rPr>
              <w:br/>
              <w:t>(Backend-for-Frontend)</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The browser's only route to the API. Two complementary paths: encrypted signed envelopes for repository entities, and thin authenticated proxies for the feature modules (tasks, gaps, workflow, documents, risk, SLA).</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Gateway routes are same-origin, so the access token never reaches browser JavaScript and the API needs no public exposure or browser CORS. Antiforgery via X-CSRF-TOKEN on mutations, RBAC and organisation-scope checks before forwarding, encrypted navigation context instead of raw record ids. Failures return a correlation id, not a stack trace.</w:t>
            </w:r>
          </w:p>
        </w:tc>
      </w:tr>
      <w:tr>
        <w:tc>
          <w:tcPr>
            <w:tcW w:type="dxa" w:w="10080"/>
            <w:gridSpan w:val="3"/>
            <w:tcW w:w="10080" w:type="dxa"/>
            <w:shd w:val="clear" w:color="auto" w:fill="E8ECF2"/>
            <w:tcMar>
              <w:top w:w="90" w:type="dxa"/>
              <w:left w:w="120" w:type="dxa"/>
              <w:bottom w:w="90" w:type="dxa"/>
              <w:right w:w="120" w:type="dxa"/>
            </w:tcMar>
          </w:tcPr>
          <w:p>
            <w:pPr>
              <w:spacing w:before="0" w:after="0"/>
              <w:jc w:val="left"/>
            </w:pPr>
            <w:r/>
            <w:r>
              <w:rPr>
                <w:rFonts w:ascii="Calibri" w:hAnsi="Calibri"/>
                <w:b/>
                <w:color w:val="1F3556"/>
                <w:sz w:val="18"/>
              </w:rPr>
              <w:t>Shared Kernel</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Security Kernel</w:t>
            </w:r>
            <w:r>
              <w:rPr>
                <w:rFonts w:ascii="Calibri" w:hAnsi="Calibri"/>
                <w:b/>
                <w:color w:val="000000"/>
                <w:sz w:val="18"/>
              </w:rPr>
              <w:br/>
              <w:t>(ControlManagement.Security)</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Issues and validates access tokens, encrypts and signs API envelopes, and evaluates area:action permissions.</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The same project referenced by the Control Management solution — one implementation of crypto, token and permission semantics shared across GRAC modules, so the platform cannot fork on security behaviour. AES-256-CBC payloads with HMAC-SHA256 signatures verified in fixed time; self-describing signed token carrying subject, roles and expiry.</w:t>
            </w:r>
          </w:p>
        </w:tc>
      </w:tr>
      <w:tr>
        <w:tc>
          <w:tcPr>
            <w:tcW w:type="dxa" w:w="10080"/>
            <w:gridSpan w:val="3"/>
            <w:tcW w:w="10080" w:type="dxa"/>
            <w:shd w:val="clear" w:color="auto" w:fill="E8ECF2"/>
            <w:tcMar>
              <w:top w:w="90" w:type="dxa"/>
              <w:left w:w="120" w:type="dxa"/>
              <w:bottom w:w="90" w:type="dxa"/>
              <w:right w:w="120" w:type="dxa"/>
            </w:tcMar>
          </w:tcPr>
          <w:p>
            <w:pPr>
              <w:spacing w:before="0" w:after="0"/>
              <w:jc w:val="left"/>
            </w:pPr>
            <w:r/>
            <w:r>
              <w:rPr>
                <w:rFonts w:ascii="Calibri" w:hAnsi="Calibri"/>
                <w:b/>
                <w:color w:val="1F3556"/>
                <w:sz w:val="18"/>
              </w:rPr>
              <w:t>API Tier — PracticeManagement.Api</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API Endpoint Layer</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Terminates requests from the web tier and exposes two deliberate API styles: the secure envelope surface for repository entities and authentication, and feature-scoped REST controllers for each newer module.</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Envelope endpoints re-validate token signature, expiry, permissions, request freshness and a single-use nonce — the API does not trust the gateway. Feature controllers follow a uniform /api/practice/{feature}/{action} convention, one controller per module, each fully independent of the others so a new module is additive. CORS restricted to a configured origin list; responses marked no-store.</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Service Layer</w:t>
            </w:r>
            <w:r>
              <w:rPr>
                <w:rFonts w:ascii="Calibri" w:hAnsi="Calibri"/>
                <w:b/>
                <w:color w:val="000000"/>
                <w:sz w:val="18"/>
              </w:rPr>
              <w:br/>
              <w:t>(Feature Modules)</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One service per business capability — tasks, gaps, exceptions, risk, workflow, org assurance definition/question/plan/execution/observation, event scope, documents, acknowledgements, SLA config, permissions, feature flags. Each owns its own data access and business orchestration.</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Registered through per-module extension methods, so adding a capability is one registration line rather than an edit to shared code. Modules are intentionally not layered on each other: the original repository service is frozen rather than extended, and shared concerns were extracted rather than duplicated. Provider-agnostic ADO.NET, stored procedures only, parameterised — no ORM, no dynamic SQL.</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Background Processing Layer</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Runs the work that must happen whether or not a user is on the screen: draining the auto-raise event queue into event instances, and sweeping tasks for due-soon, breached and escalation-due notifications.</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Implemented as ASP.NET Core hosted BackgroundService workers on a timer — no external scheduler dependency. Each pass is individually wrapped so a failure logs and continues rather than taking the API down. Notification writes are de-duplicated by an outbox index, making a repeated sweep safe. This is what makes an SLA a control rather than a screen label.</w:t>
            </w:r>
          </w:p>
        </w:tc>
      </w:tr>
      <w:tr>
        <w:tc>
          <w:tcPr>
            <w:tcW w:type="dxa" w:w="10080"/>
            <w:gridSpan w:val="3"/>
            <w:tcW w:w="10080" w:type="dxa"/>
            <w:shd w:val="clear" w:color="auto" w:fill="E8ECF2"/>
            <w:tcMar>
              <w:top w:w="90" w:type="dxa"/>
              <w:left w:w="120" w:type="dxa"/>
              <w:bottom w:w="90" w:type="dxa"/>
              <w:right w:w="120" w:type="dxa"/>
            </w:tcMar>
          </w:tcPr>
          <w:p>
            <w:pPr>
              <w:spacing w:before="0" w:after="0"/>
              <w:jc w:val="left"/>
            </w:pPr>
            <w:r/>
            <w:r>
              <w:rPr>
                <w:rFonts w:ascii="Calibri" w:hAnsi="Calibri"/>
                <w:b/>
                <w:color w:val="1F3556"/>
                <w:sz w:val="18"/>
              </w:rPr>
              <w:t>Data Tier — SQL Server (grac_practice)</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Stored Procedure Layer</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Holds the business logic: lifecycle legality, SLA matching and override, gap and exception governance, owner resolution, scope resolution, scoring and every list/detail projection.</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Several hundred procedures organised one migration set per module (schema, procedures, menu seed), each with a matching rollback script so a release can be reversed without a database restore. Diagnostic scripts are kept alongside as first-class artefacts. The application orchestrates; this layer decides.</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State Machine Framework</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A generic substrate every stateful entity plugs into, instead of each carrying its own status column and hard-coded transitions.</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Statuses and legal from/to transitions are data, held per entity type and optionally gated by actor role, with per-rule requires-reason and requires-approval flags. A probe procedure answers 'would this transition succeed?' so the UI can grey out illegal actions instead of guessing. Transitions are validated and logged centrally; the log is append-only. Onboarding a new entity is seed data plus one foreign key.</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Authorisation Model</w:t>
            </w:r>
            <w:r>
              <w:rPr>
                <w:rFonts w:ascii="Calibri" w:hAnsi="Calibri"/>
                <w:b/>
                <w:color w:val="000000"/>
                <w:sz w:val="18"/>
              </w:rPr>
              <w:br/>
              <w:t>(Origin-Aware RBAC)</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Decides not just who may act, but on what kind of record — separating GRAC-published content from organisation-created content.</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Permission is evaluated as Role x Scope x Origin x Action returning Allowed, Denied or RequiresApproval — the third verdict lets governance route an action into approval rather than a flat refusal. Resolution is most-specific-match, then priority, with Denied winning ties. Wildcard fallback rules ensure an unrecognised action fails closed.</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Persistence &amp; Data Model Layer</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Stores organisations, employees and roles, adopted controls and requirements, practices and instances, tasks, gaps, exceptions, risks, assurance definitions and executions, documents and acknowledgements.</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Single grac_practice schema, organisation-scoped throughout. Ownership is authoritative on assignment records with denormalised owner caches for query performance, kept in sync by procedure and reconcilable on demand — the write path is not allowed to touch the cache directly. Document binaries are versioned rows separate from the register, so the register stays narrow and old versions survive for audit.</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Audit &amp; History Layer</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Records who changed what, when and why, across state transitions, document lifecycle and every material entity change.</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Audit and transition-log tables are append-only, protected by INSTEAD OF UPDATE, DELETE triggers that raise on any tampering attempt. Document history captures a typed change reason per event, replacing the legacy shadow-table pattern that duplicated every column on every change.</w:t>
            </w:r>
          </w:p>
        </w:tc>
      </w:tr>
      <w:tr>
        <w:tc>
          <w:tcPr>
            <w:tcW w:type="dxa" w:w="10080"/>
            <w:gridSpan w:val="3"/>
            <w:tcW w:w="10080" w:type="dxa"/>
            <w:shd w:val="clear" w:color="auto" w:fill="E8ECF2"/>
            <w:tcMar>
              <w:top w:w="90" w:type="dxa"/>
              <w:left w:w="120" w:type="dxa"/>
              <w:bottom w:w="90" w:type="dxa"/>
              <w:right w:w="120" w:type="dxa"/>
            </w:tcMar>
          </w:tcPr>
          <w:p>
            <w:pPr>
              <w:spacing w:before="0" w:after="0"/>
              <w:jc w:val="left"/>
            </w:pPr>
            <w:r/>
            <w:r>
              <w:rPr>
                <w:rFonts w:ascii="Calibri" w:hAnsi="Calibri"/>
                <w:b/>
                <w:color w:val="1F3556"/>
                <w:sz w:val="18"/>
              </w:rPr>
              <w:t>Cross-Cutting</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Configuration &amp; Secrets</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Supplies the connection string, token signing key, CORS origins, SMTP settings and provider selection to both processes.</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One shared connection-string resolver used by every API service — the web tier never opens its own SQL connection (login being the single documented exception, before a token exists). Accepts either a ready-made connection string or a base string plus an encrypted password, and applies TLS encryption settings centrally. Production secrets come from the deployment secret manager.</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Feature Flags &amp; Rollout</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Turns individual screens and modules on or off per organisation without a redeployment.</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Flag registry lives in the database and is probed only through the API tier, so the web tier never queries it directly. New modules ship disabled and are enabled per organisation by their menu-seed migration, making a rollout a data change and a rollback immediate.</w:t>
            </w:r>
          </w:p>
        </w:tc>
      </w:tr>
      <w:tr>
        <w:tc>
          <w:tcPr>
            <w:tcW w:type="dxa" w:w="3360"/>
            <w:tcW w:w="1800" w:type="dxa"/>
            <w:tcMar>
              <w:top w:w="80" w:type="dxa"/>
              <w:left w:w="120" w:type="dxa"/>
              <w:bottom w:w="80" w:type="dxa"/>
              <w:right w:w="120" w:type="dxa"/>
            </w:tcMar>
          </w:tcPr>
          <w:p>
            <w:pPr>
              <w:spacing w:before="0" w:after="0"/>
              <w:jc w:val="left"/>
            </w:pPr>
            <w:r/>
            <w:r>
              <w:rPr>
                <w:rFonts w:ascii="Calibri" w:hAnsi="Calibri"/>
                <w:b/>
                <w:color w:val="000000"/>
                <w:sz w:val="18"/>
              </w:rPr>
              <w:t>Notification &amp; Email</w:t>
            </w:r>
          </w:p>
        </w:tc>
        <w:tc>
          <w:tcPr>
            <w:tcW w:type="dxa" w:w="3360"/>
            <w:tcW w:w="3600" w:type="dxa"/>
            <w:tcMar>
              <w:top w:w="80" w:type="dxa"/>
              <w:left w:w="120" w:type="dxa"/>
              <w:bottom w:w="80" w:type="dxa"/>
              <w:right w:w="120" w:type="dxa"/>
            </w:tcMar>
          </w:tcPr>
          <w:p>
            <w:pPr>
              <w:spacing w:before="0" w:after="0"/>
              <w:jc w:val="left"/>
            </w:pPr>
            <w:r/>
            <w:r>
              <w:rPr>
                <w:rFonts w:ascii="Calibri" w:hAnsi="Calibri"/>
                <w:b w:val="0"/>
                <w:color w:val="000000"/>
                <w:sz w:val="18"/>
              </w:rPr>
              <w:t>Delivers task SLA notifications and provisioning credentials to the right people.</w:t>
            </w:r>
          </w:p>
        </w:tc>
        <w:tc>
          <w:tcPr>
            <w:tcW w:type="dxa" w:w="3360"/>
            <w:tcW w:w="4680" w:type="dxa"/>
            <w:tcMar>
              <w:top w:w="80" w:type="dxa"/>
              <w:left w:w="120" w:type="dxa"/>
              <w:bottom w:w="80" w:type="dxa"/>
              <w:right w:w="120" w:type="dxa"/>
            </w:tcMar>
          </w:tcPr>
          <w:p>
            <w:pPr>
              <w:spacing w:before="0" w:after="0"/>
              <w:jc w:val="left"/>
            </w:pPr>
            <w:r/>
            <w:r>
              <w:rPr>
                <w:rFonts w:ascii="Calibri" w:hAnsi="Calibri"/>
                <w:b w:val="0"/>
                <w:color w:val="000000"/>
                <w:sz w:val="18"/>
              </w:rPr>
              <w:t>Notifications are written to a database outbox by the sweep worker and de-duplicated there, so delivery is decoupled from the request that caused it. Credential email is best-effort: a mail failure is logged but never rolls back the provisioning it accompanies, and only the password hash is sent to the API — plaintext never reaches the database.</w:t>
            </w:r>
          </w:p>
        </w:tc>
      </w:tr>
    </w:tbl>
    <w:p>
      <w:pPr>
        <w:spacing w:after="80" w:before="280"/>
      </w:pPr>
      <w:r>
        <w:rPr>
          <w:rFonts w:ascii="Calibri" w:hAnsi="Calibri"/>
          <w:b/>
          <w:color w:val="1F3556"/>
          <w:sz w:val="22"/>
        </w:rPr>
        <w:t>Architectural Notes</w:t>
      </w:r>
    </w:p>
    <w:p>
      <w:pPr>
        <w:spacing w:after="80" w:before="0"/>
      </w:pPr>
      <w:r>
        <w:rPr>
          <w:rFonts w:ascii="Calibri" w:hAnsi="Calibri"/>
          <w:b w:val="0"/>
          <w:color w:val="000000"/>
          <w:sz w:val="20"/>
        </w:rPr>
        <w:t>1.  The module reuses the Control Management security kernel project directly rather than copying it, so token, envelope and permission behaviour is identical across GRAC modules by construction.</w:t>
      </w:r>
    </w:p>
    <w:p>
      <w:pPr>
        <w:spacing w:after="80" w:before="0"/>
      </w:pPr>
      <w:r>
        <w:rPr>
          <w:rFonts w:ascii="Calibri" w:hAnsi="Calibri"/>
          <w:b w:val="0"/>
          <w:color w:val="000000"/>
          <w:sz w:val="20"/>
        </w:rPr>
        <w:t>2.  Two API styles coexist by design: the secure envelope surface for repository entities and authentication, and feature-scoped REST controllers for the newer modules. The envelope path re-authenticates independently at the API; the feature path is authorised at the web tier and assumes the API is not publicly reachable — that network placement is a deployment requirement, not an option.</w:t>
      </w:r>
    </w:p>
    <w:p>
      <w:pPr>
        <w:spacing w:after="80" w:before="0"/>
      </w:pPr>
      <w:r>
        <w:rPr>
          <w:rFonts w:ascii="Calibri" w:hAnsi="Calibri"/>
          <w:b w:val="0"/>
          <w:color w:val="000000"/>
          <w:sz w:val="20"/>
        </w:rPr>
        <w:t>3.  Modules are additive by policy. The original repository service is frozen; new capability arrives as a new service, controller, registration extension and migration set, which is why the module has grown to roughly twenty capabilities without destabilising the earlier ones.</w:t>
      </w:r>
    </w:p>
    <w:p>
      <w:pPr>
        <w:spacing w:after="80" w:before="0"/>
      </w:pPr>
      <w:r>
        <w:rPr>
          <w:rFonts w:ascii="Calibri" w:hAnsi="Calibri"/>
          <w:b w:val="0"/>
          <w:color w:val="000000"/>
          <w:sz w:val="20"/>
        </w:rPr>
        <w:t>4.  Every database change ships as a numbered migration with a matching rollback script. Menu and permission seeding is part of the migration, so a screen and its access rights are delivered together.</w:t>
      </w:r>
    </w:p>
    <w:p>
      <w:pPr>
        <w:spacing w:after="80" w:before="0"/>
      </w:pPr>
      <w:r>
        <w:rPr>
          <w:rFonts w:ascii="Calibri" w:hAnsi="Calibri"/>
          <w:b w:val="0"/>
          <w:color w:val="000000"/>
          <w:sz w:val="20"/>
        </w:rPr>
        <w:t>5.  Organisation scope is enforced at the web tier on every request and again inside the procedures. Multi-tenancy here is a data-scope model on a shared schema, not database-per-tenant.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