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Lato" w:cs="Lato" w:eastAsia="Lato" w:hAnsi="Lato"/>
          <w:b/>
          <w:bCs/>
          <w:color w:val="0C1129"/>
          <w:sz w:val="72"/>
          <w:szCs w:val="72"/>
        </w:rPr>
        <w:t xml:space="preserve">GRAC</w:t>
      </w:r>
      <w:r>
        <w:rPr>
          <w:rFonts w:ascii="Lato" w:cs="Lato" w:eastAsia="Lato" w:hAnsi="Lato"/>
          <w:b/>
          <w:bCs/>
          <w:color w:val="467CEB"/>
          <w:sz w:val="40"/>
          <w:szCs w:val="40"/>
        </w:rPr>
        <w:t xml:space="preserve">  Sentinel</w:t>
      </w:r>
    </w:p>
    <w:p>
      <w:pPr>
        <w:pBdr>
          <w:bottom w:val="single" w:color="E8A33D" w:sz="18" w:space="10"/>
        </w:pBdr>
        <w:spacing w:after="0" w:before="40"/>
      </w:pPr>
      <w:r>
        <w:rPr>
          <w:rFonts w:ascii="Lato" w:cs="Lato" w:eastAsia="Lato" w:hAnsi="Lato"/>
          <w:i/>
          <w:iCs/>
          <w:color w:val="6B7280"/>
          <w:sz w:val="22"/>
          <w:szCs w:val="22"/>
        </w:rPr>
        <w:t xml:space="preserve">Continuous Compliance Assured.</w:t>
      </w:r>
    </w:p>
    <w:p>
      <w:pPr>
        <w:spacing w:after="0" w:before="520"/>
      </w:pPr>
      <w:r>
        <w:rPr>
          <w:rFonts w:ascii="Lato" w:cs="Lato" w:eastAsia="Lato" w:hAnsi="Lato"/>
          <w:b/>
          <w:bCs/>
          <w:color w:val="0C1129"/>
          <w:sz w:val="46"/>
          <w:szCs w:val="46"/>
        </w:rPr>
        <w:t xml:space="preserve">Module Permission &amp; Authorization</w:t>
      </w:r>
    </w:p>
    <w:p>
      <w:pPr>
        <w:spacing w:after="0" w:before="60"/>
      </w:pPr>
      <w:r>
        <w:rPr>
          <w:rFonts w:ascii="Lato" w:cs="Lato" w:eastAsia="Lato" w:hAnsi="Lato"/>
          <w:color w:val="467CEB"/>
          <w:sz w:val="36"/>
          <w:szCs w:val="36"/>
        </w:rPr>
        <w:t xml:space="preserve">Audit &amp; Standardization Review</w:t>
      </w:r>
    </w:p>
    <w:p>
      <w:pPr>
        <w:spacing w:after="0" w:before="40"/>
      </w:pPr>
      <w:r>
        <w:rPr>
          <w:rFonts w:ascii="Lato" w:cs="Lato" w:eastAsia="Lato" w:hAnsi="Lato"/>
          <w:color w:val="6B7280"/>
          <w:sz w:val="22"/>
          <w:szCs w:val="22"/>
        </w:rPr>
        <w:t xml:space="preserve">Practice Management module</w:t>
      </w:r>
    </w:p>
    <w:p>
      <w:pPr>
        <w:spacing w:after="0" w:before="1500"/>
      </w:pPr>
      <w:r>
        <w:rPr>
          <w:rFonts w:ascii="Lato" w:cs="Lato" w:eastAsia="Lato" w:hAnsi="Lato"/>
          <w:color w:val="374151"/>
          <w:sz w:val="20"/>
          <w:szCs w:val="20"/>
        </w:rPr>
        <w:t xml:space="preserve">Version 1.0</w:t>
      </w:r>
    </w:p>
    <w:p>
      <w:pPr>
        <w:spacing w:after="0" w:before="20"/>
      </w:pPr>
      <w:r>
        <w:rPr>
          <w:rFonts w:ascii="Lato" w:cs="Lato" w:eastAsia="Lato" w:hAnsi="Lato"/>
          <w:color w:val="374151"/>
          <w:sz w:val="20"/>
          <w:szCs w:val="20"/>
        </w:rPr>
        <w:t xml:space="preserve">September 2026</w:t>
      </w:r>
    </w:p>
    <w:p>
      <w:pPr>
        <w:spacing w:after="0" w:before="20"/>
      </w:pPr>
      <w:r>
        <w:rPr>
          <w:rFonts w:ascii="Lato" w:cs="Lato" w:eastAsia="Lato" w:hAnsi="Lato"/>
          <w:color w:val="6B7280"/>
          <w:sz w:val="18"/>
          <w:szCs w:val="18"/>
        </w:rPr>
        <w:t xml:space="preserve">GRAC Sentinel Pvt Ltd — Confidential</w:t>
      </w:r>
    </w:p>
    <w:p>
      <w:r>
        <w:br w:type="page"/>
      </w:r>
    </w:p>
    <w:p>
      <w:pPr>
        <w:spacing w:after="160"/>
      </w:pPr>
      <w:r>
        <w:rPr>
          <w:rFonts w:ascii="Lato" w:cs="Lato" w:eastAsia="Lato" w:hAnsi="Lato"/>
          <w:b/>
          <w:bCs/>
          <w:color w:val="0C112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67CEB" w:sz="12" w:space="6"/>
        </w:pBdr>
        <w:spacing w:after="160" w:before="360"/>
      </w:pPr>
      <w:r>
        <w:rPr>
          <w:rFonts w:ascii="Lato" w:cs="Lato" w:eastAsia="Lato" w:hAnsi="Lato"/>
          <w:b/>
          <w:bCs/>
          <w:color w:val="0C1129"/>
          <w:sz w:val="29"/>
          <w:szCs w:val="29"/>
        </w:rPr>
        <w:t xml:space="preserve">1. Executive summary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This review examines the entire authorization implementation of the Practice Management module to confirm that access is strictly role-based, with the Role Permission page as the single source of truth. The intended model is:</w:t>
      </w:r>
    </w:p>
    <w:p>
      <w:pPr>
        <w:spacing w:after="120" w:before="0" w:line="276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User → Organization → Role → Role Permissions → allowed access / actions.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headline finding is positive: for a normal user, the module already works exactly this way, end to end, and the same permission engine governs both the UI (Web) and the API. What the audit surfaces are a small number of permission sources and UI conditions that sit outside the Role Permission page. Most are deliberate infrastructure (a bootstrap administrator, baseline lookup reads, alias expansion); one is a genuine UI gap worth fixing.</w:t>
      </w:r>
    </w:p>
    <w:tbl>
      <w:tblPr>
        <w:tblW w:type="dxa" w:w="9360"/>
        <w:tblBorders>
          <w:top w:val="single" w:color="C9D8F5" w:sz="4"/>
          <w:left w:val="single" w:color="15803D" w:sz="24"/>
          <w:bottom w:val="single" w:color="C9D8F5" w:sz="4"/>
          <w:right w:val="single" w:color="C9D8F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Lato" w:cs="Lato" w:eastAsia="Lato" w:hAnsi="Lato"/>
                <w:b/>
                <w:bCs/>
                <w:color w:val="15803D"/>
                <w:sz w:val="20"/>
                <w:szCs w:val="20"/>
              </w:rPr>
              <w:t xml:space="preserve">Good: </w:t>
            </w:r>
            <w:r>
              <w:rPr>
                <w:rFonts w:ascii="Lato" w:cs="Lato" w:eastAsia="Lato" w:hAnsi="Lato"/>
                <w:color w:val="1F2937"/>
                <w:sz w:val="20"/>
                <w:szCs w:val="20"/>
              </w:rPr>
              <w:t xml:space="preserve">For a normal user, permissions are built only from the Role Permission page (the organization_role_menu_permission table), and both the Web UI and the API evaluate access through the same shared PermissionPolicy. No user-specific permission flags, and no hardcoded username or email checks, exist anywhere in the module code.</w:t>
            </w:r>
          </w:p>
        </w:tc>
      </w:tr>
    </w:tbl>
    <w:p>
      <w:pPr>
        <w:pStyle w:val="Heading2"/>
        <w:spacing w:after="110" w:before="260"/>
      </w:pPr>
      <w:r>
        <w:rPr>
          <w:rFonts w:ascii="Lato" w:cs="Lato" w:eastAsia="Lato" w:hAnsi="Lato"/>
          <w:b/>
          <w:bCs/>
          <w:color w:val="467CEB"/>
          <w:sz w:val="24"/>
          <w:szCs w:val="24"/>
        </w:rPr>
        <w:t xml:space="preserve">At a glance</w:t>
      </w:r>
    </w:p>
    <w:tbl>
      <w:tblPr>
        <w:tblW w:type="dxa" w:w="936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96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b/>
                <w:bCs/>
                <w:sz w:val="19"/>
                <w:szCs w:val="19"/>
              </w:rPr>
              <w:t xml:space="preserve">Normal-user permissions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5803D"/>
                <w:sz w:val="19"/>
                <w:szCs w:val="19"/>
              </w:rPr>
              <w:t xml:space="preserve">Role-based via the Role Permission page. Correct.</w:t>
            </w:r>
          </w:p>
        </w:tc>
      </w:tr>
      <w:tr>
        <w:tc>
          <w:tcPr>
            <w:tcW w:type="dxa" w:w="34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b/>
                <w:bCs/>
                <w:sz w:val="19"/>
                <w:szCs w:val="19"/>
              </w:rPr>
              <w:t xml:space="preserve">UI vs API enforcement</w:t>
            </w:r>
          </w:p>
        </w:tc>
        <w:tc>
          <w:tcPr>
            <w:tcW w:type="dxa" w:w="59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5803D"/>
                <w:sz w:val="19"/>
                <w:szCs w:val="19"/>
              </w:rPr>
              <w:t xml:space="preserve">Same evaluator and area map on both tiers. Aligned.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b/>
                <w:bCs/>
                <w:sz w:val="19"/>
                <w:szCs w:val="19"/>
              </w:rPr>
              <w:t xml:space="preserve">Menu / page / action gating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B45309"/>
                <w:sz w:val="19"/>
                <w:szCs w:val="19"/>
              </w:rPr>
              <w:t xml:space="preserve">Driven by role grants — with one UI gap (see Finding 7).</w:t>
            </w:r>
          </w:p>
        </w:tc>
      </w:tr>
      <w:tr>
        <w:tc>
          <w:tcPr>
            <w:tcW w:type="dxa" w:w="34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b/>
                <w:bCs/>
                <w:sz w:val="19"/>
                <w:szCs w:val="19"/>
              </w:rPr>
              <w:t xml:space="preserve">Config role map &amp; bootstrap admin</w:t>
            </w:r>
          </w:p>
        </w:tc>
        <w:tc>
          <w:tcPr>
            <w:tcW w:type="dxa" w:w="59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B45309"/>
                <w:sz w:val="19"/>
                <w:szCs w:val="19"/>
              </w:rPr>
              <w:t xml:space="preserve">Parallel sources outside the page — intentional, documented below.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b/>
                <w:bCs/>
                <w:sz w:val="19"/>
                <w:szCs w:val="19"/>
              </w:rPr>
              <w:t xml:space="preserve">User-specific / org-specific overrides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5803D"/>
                <w:sz w:val="19"/>
                <w:szCs w:val="19"/>
              </w:rPr>
              <w:t xml:space="preserve">None found.</w:t>
            </w:r>
          </w:p>
        </w:tc>
      </w:tr>
      <w:tr>
        <w:tc>
          <w:tcPr>
            <w:tcW w:type="dxa" w:w="34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b/>
                <w:bCs/>
                <w:sz w:val="19"/>
                <w:szCs w:val="19"/>
              </w:rPr>
              <w:t xml:space="preserve">Hardcoded user / email checks in code</w:t>
            </w:r>
          </w:p>
        </w:tc>
        <w:tc>
          <w:tcPr>
            <w:tcW w:type="dxa" w:w="59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5803D"/>
                <w:sz w:val="19"/>
                <w:szCs w:val="19"/>
              </w:rPr>
              <w:t xml:space="preserve">None found (only a config bootstrap admin).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67CEB" w:sz="12" w:space="6"/>
        </w:pBdr>
        <w:spacing w:after="160" w:before="360"/>
      </w:pPr>
      <w:r>
        <w:rPr>
          <w:rFonts w:ascii="Lato" w:cs="Lato" w:eastAsia="Lato" w:hAnsi="Lato"/>
          <w:b/>
          <w:bCs/>
          <w:color w:val="0C1129"/>
          <w:sz w:val="29"/>
          <w:szCs w:val="29"/>
        </w:rPr>
        <w:t xml:space="preserve">2. How authorization works today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Every permission decision resolves to a check of the form: does this user hold &lt;area&gt;:&lt;ACTION&gt;? Areas are menu keys (for example committees, risk-centre); actions are VIEW, ADD, EDIT, DELETE, APPROVE. The chain that produces and evaluates those grants is:</w:t>
      </w:r>
    </w:p>
    <w:tbl>
      <w:tblPr>
        <w:tblW w:type="dxa" w:w="936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1500"/>
        <w:gridCol w:w="5560"/>
        <w:gridCol w:w="2300"/>
      </w:tblGrid>
      <w:tr>
        <w:trPr>
          <w:tblHeader/>
        </w:trPr>
        <w:tc>
          <w:tcPr>
            <w:tcW w:type="dxa" w:w="150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56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30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1. Sign in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The API authenticates the user and loads their permissions.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PracticeAuthenticationService</w:t>
            </w:r>
          </w:p>
        </w:tc>
      </w:tr>
      <w:tr>
        <w:tc>
          <w:tcPr>
            <w:tcW w:type="dxa" w:w="15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2. Load role permissions</w:t>
            </w:r>
          </w:p>
        </w:tc>
        <w:tc>
          <w:tcPr>
            <w:tcW w:type="dxa" w:w="55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Permissions are read from organization_role_menu_permission joined to menu_master, for every active role the user holds, as can_view / can_add / can_edit / can_delete / can_approve.</w:t>
            </w:r>
          </w:p>
        </w:tc>
        <w:tc>
          <w:tcPr>
            <w:tcW w:type="dxa" w:w="23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LoadPermissionsAsync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3. Build grant strings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Each allowed flag becomes a "menu_key:ACTION" grant (e.g. committees:EDIT).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LoadPermissionsAsync</w:t>
            </w:r>
          </w:p>
        </w:tc>
      </w:tr>
      <w:tr>
        <w:tc>
          <w:tcPr>
            <w:tcW w:type="dxa" w:w="15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4. Session claims</w:t>
            </w:r>
          </w:p>
        </w:tc>
        <w:tc>
          <w:tcPr>
            <w:tcW w:type="dxa" w:w="55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The grants are stored in the session and a signed token, and carried on every request.</w:t>
            </w:r>
          </w:p>
        </w:tc>
        <w:tc>
          <w:tcPr>
            <w:tcW w:type="dxa" w:w="23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LoginController.SignIn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5. Evaluate (UI)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Menu, page access and action buttons are gated by these grants.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PracticeController / practice.js</w:t>
            </w:r>
          </w:p>
        </w:tc>
      </w:tr>
      <w:tr>
        <w:tc>
          <w:tcPr>
            <w:tcW w:type="dxa" w:w="15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6. Evaluate (API)</w:t>
            </w:r>
          </w:p>
        </w:tc>
        <w:tc>
          <w:tcPr>
            <w:tcW w:type="dxa" w:w="55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Every data call re-checks the same grants through the same engine before executing.</w:t>
            </w:r>
          </w:p>
        </w:tc>
        <w:tc>
          <w:tcPr>
            <w:tcW w:type="dxa" w:w="23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PracticeRepositoryController</w:t>
            </w:r>
          </w:p>
        </w:tc>
      </w:tr>
    </w:tbl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Steps 5 and 6 use the same shared component — PermissionPolicy in the ControlManagement.Security library — and the same entity-to-area mapping (PermissionAreaMap, authored once and linked into both projects). This is why the UI and the API agree on what a role may do; a past bug where they disagreed (the "release-statements 403") was fixed by making the API use that shared map.</w:t>
      </w:r>
    </w:p>
    <w:tbl>
      <w:tblPr>
        <w:tblW w:type="dxa" w:w="9360"/>
        <w:tblBorders>
          <w:top w:val="single" w:color="C9D8F5" w:sz="4"/>
          <w:left w:val="single" w:color="467CEB" w:sz="24"/>
          <w:bottom w:val="single" w:color="C9D8F5" w:sz="4"/>
          <w:right w:val="single" w:color="C9D8F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Lato" w:cs="Lato" w:eastAsia="Lato" w:hAnsi="Lato"/>
                <w:b/>
                <w:bCs/>
                <w:color w:val="467CEB"/>
                <w:sz w:val="20"/>
                <w:szCs w:val="20"/>
              </w:rPr>
              <w:t xml:space="preserve">Note: </w:t>
            </w:r>
            <w:r>
              <w:rPr>
                <w:rFonts w:ascii="Lato" w:cs="Lato" w:eastAsia="Lato" w:hAnsi="Lato"/>
                <w:color w:val="1F2937"/>
                <w:sz w:val="20"/>
                <w:szCs w:val="20"/>
              </w:rPr>
              <w:t xml:space="preserve">The Role Permission page writes to organization_role_menu_permission and menu_master. Those are precisely the tables step 2 reads. So a change made on the Role Permission page is what determines a normal user’s access — the requirement is already satisfied for that path.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67CEB" w:sz="12" w:space="6"/>
        </w:pBdr>
        <w:spacing w:after="160" w:before="360"/>
      </w:pPr>
      <w:r>
        <w:rPr>
          <w:rFonts w:ascii="Lato" w:cs="Lato" w:eastAsia="Lato" w:hAnsi="Lato"/>
          <w:b/>
          <w:bCs/>
          <w:color w:val="0C1129"/>
          <w:sz w:val="29"/>
          <w:szCs w:val="29"/>
        </w:rPr>
        <w:t xml:space="preserve">3. Findings — access not driven by the Role Permission page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following are the only permission sources or conditions that do not originate from the Role Permission page. Severity reflects security impact, not effort.</w:t>
      </w:r>
    </w:p>
    <w:tbl>
      <w:tblPr>
        <w:tblW w:type="dxa" w:w="936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500"/>
        <w:gridCol w:w="4560"/>
        <w:gridCol w:w="2100"/>
        <w:gridCol w:w="2200"/>
      </w:tblGrid>
      <w:tr>
        <w:trPr>
          <w:tblHeader/>
        </w:trPr>
        <w:tc>
          <w:tcPr>
            <w:tcW w:type="dxa" w:w="50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6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10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Config role map (Security:RolePermissions) with wildcards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Config source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ReviewLogin bootstrap admin (email + password hash)</w:t>
            </w:r>
          </w:p>
        </w:tc>
        <w:tc>
          <w:tcPr>
            <w:tcW w:type="dxa" w:w="21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Config bypass</w:t>
            </w:r>
          </w:p>
        </w:tc>
        <w:tc>
          <w:tcPr>
            <w:tcW w:type="dxa" w:w="22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Low*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SupportingReads — baseline :VIEW grants for everyone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Implicit grant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45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ExpandPermissionAliases — implicit permission fan-out</w:t>
            </w:r>
          </w:p>
        </w:tc>
        <w:tc>
          <w:tcPr>
            <w:tcW w:type="dxa" w:w="21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Implicit grant</w:t>
            </w:r>
          </w:p>
        </w:tc>
        <w:tc>
          <w:tcPr>
            <w:tcW w:type="dxa" w:w="22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@is_system_admin — data-scope (which orgs are visible)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Implicit rule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5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45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DataScope (GLOBAL/ORGANIZATION/…) row visibility</w:t>
            </w:r>
          </w:p>
        </w:tc>
        <w:tc>
          <w:tcPr>
            <w:tcW w:type="dxa" w:w="21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Second axis</w:t>
            </w:r>
          </w:p>
        </w:tc>
        <w:tc>
          <w:tcPr>
            <w:tcW w:type="dxa" w:w="22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Nested-tab row menu shows actions without a permission check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UI gap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 w:before="0" w:line="276"/>
      </w:pPr>
      <w:r>
        <w:rPr>
          <w:rFonts w:ascii="Lato" w:cs="Lato" w:eastAsia="Lato" w:hAnsi="Lato"/>
          <w:i/>
          <w:iCs/>
          <w:color w:val="6B7280"/>
          <w:sz w:val="18"/>
          <w:szCs w:val="18"/>
        </w:rPr>
        <w:t xml:space="preserve">* Low in production (disabled by blank config); active in Development as admin@grac.local.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Finding 1 — Config-based role map (Security:RolePermissions)</w:t>
      </w:r>
    </w:p>
    <w:p>
      <w:pPr>
        <w:spacing w:after="120" w:before="0" w:line="276"/>
      </w:pPr>
      <w:r>
        <w:rPr>
          <w:rFonts w:ascii="Consolas" w:cs="Consolas" w:eastAsia="Consolas" w:hAnsi="Consolas"/>
          <w:sz w:val="20"/>
          <w:szCs w:val="20"/>
        </w:rPr>
        <w:t xml:space="preserve">appsettings.json</w:t>
      </w:r>
      <w:r>
        <w:rPr>
          <w:rFonts w:ascii="Lato" w:cs="Lato" w:eastAsia="Lato" w:hAnsi="Lato"/>
          <w:color w:val="111827"/>
          <w:sz w:val="21"/>
          <w:szCs w:val="21"/>
        </w:rPr>
        <w:t xml:space="preserve"> in both the Web and API projects defines a static role-code → permission map with wildcards: PM_ADMIN → *:*, PM_REVIEWER → *:VIEW, PM_ORG_ADMIN → a fixed list, PM_OWNER → a fixed list. This is a second source of truth. It only takes effect when a session’s claims carry a role code (the bootstrap paths), because a normal user’s claims carry explicit DB grant strings instead — so normal users are unaffected. It remains a parallel, code/config-controlled permission source that can override the page.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Finding 2 — ReviewLogin bootstrap administrator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 configured email plus password hash signs in as a fixed role set (Development: admin@grac.local → PM_ADMIN → *:*), entirely outside the Role Permission page. It is blank (disabled) in production appsettings.json and populated only in appsettings.Development.json. It is the classic bootstrap superuser, but it is a config-controlled bypass of role permissions and should be treated as such.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Finding 3 — SupportingReads (baseline reads for everyone)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LoginController grants a fixed list of :VIEW permissions to every signed-in user regardless of role — menu-master, lookups, dashboard-summary, owners, time-zones, and several team/committee/asset auxiliary lookups. These feed dropdowns and shared reads that every form needs. They are outside the page, but removing them would break those forms for everyone.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Finding 4 — ExpandPermissionAliases (implicit fan-out)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Also in LoginController: holding an operationalize permission implicitly also grants resolve, practice-dependency-resolutions and evidence-configurations (with ADD/EDIT/APPROVE amplification). This keeps the operationalize screen working from a single grant, but the extra permissions are created in code, not on the page.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Finding 5 — @is_system_admin (data scope, not action rights)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List queries in the API use an @is_system_admin flag, derived from the caller’s security context (a wildcard/admin role), to decide which organizations’ rows are returned. It governs data visibility, not whether an action is allowed, and it is role-derived — but it is an implicit "admin sees all organizations" rule rather than a Role Permission entry.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Finding 6 — DataScope row visibility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Each role carries a data_scope (GLOBAL, ORGANIZATION, RELEASE, STATEMENT, PRACTICE, INSTANCE) that narrows which rows a user sees. It is attached to the role, so it is role-based, but it is a separate axis from the menu permissions and is not configured on the Role Permission page.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Finding 7 — Nested-tab actions not permission-filtered (the one real UI gap)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 the standalone screens, each row-menu action (View / Edit / Delete, etc.) is shown only if the user holds the matching permission. In the Organization Setup and Organization Administration nested tabs, the row menu renders View / Edit / Inactive unconditionally — it does not check the user’s grants. A VIEW-only user therefore sees Edit and Inactive buttons there.</w:t>
      </w:r>
    </w:p>
    <w:tbl>
      <w:tblPr>
        <w:tblW w:type="dxa" w:w="9360"/>
        <w:tblBorders>
          <w:top w:val="single" w:color="C9D8F5" w:sz="4"/>
          <w:left w:val="single" w:color="B91C1C" w:sz="24"/>
          <w:bottom w:val="single" w:color="C9D8F5" w:sz="4"/>
          <w:right w:val="single" w:color="C9D8F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Lato" w:cs="Lato" w:eastAsia="Lato" w:hAnsi="Lato"/>
                <w:b/>
                <w:bCs/>
                <w:color w:val="B91C1C"/>
                <w:sz w:val="20"/>
                <w:szCs w:val="20"/>
              </w:rPr>
              <w:t xml:space="preserve">Risk: </w:t>
            </w:r>
            <w:r>
              <w:rPr>
                <w:rFonts w:ascii="Lato" w:cs="Lato" w:eastAsia="Lato" w:hAnsi="Lato"/>
                <w:color w:val="1F2937"/>
                <w:sz w:val="20"/>
                <w:szCs w:val="20"/>
              </w:rPr>
              <w:t xml:space="preserve">This is a UI inconsistency, not a privilege escalation: the API still re-checks the permission and rejects an unauthorized save or delete. But the buttons should not appear for a role that cannot use them. This is the recommended first fix.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67CEB" w:sz="12" w:space="6"/>
        </w:pBdr>
        <w:spacing w:after="160" w:before="360"/>
      </w:pPr>
      <w:r>
        <w:rPr>
          <w:rFonts w:ascii="Lato" w:cs="Lato" w:eastAsia="Lato" w:hAnsi="Lato"/>
          <w:b/>
          <w:bCs/>
          <w:color w:val="0C1129"/>
          <w:sz w:val="29"/>
          <w:szCs w:val="29"/>
        </w:rPr>
        <w:t xml:space="preserve">4. Recommendations</w:t>
      </w:r>
    </w:p>
    <w:p>
      <w:pPr>
        <w:spacing w:after="120" w:before="0" w:line="276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Listed in priority order. Only item A changes behaviour a user would notice; the rest are hardening or documentation choices for you to decide.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A. Fix the nested-tab action gating (Finding 7) — recommended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Lato" w:cs="Lato" w:eastAsia="Lato" w:hAnsi="Lato"/>
          <w:color w:val="111827"/>
          <w:sz w:val="21"/>
          <w:szCs w:val="21"/>
        </w:rPr>
        <w:t xml:space="preserve">Filter the Organization Setup / Administration row-menu actions by the user’s permissions, exactly as the standalone grids already do (permissions.has("EDIT") / ("DELETE")).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Lato" w:cs="Lato" w:eastAsia="Lato" w:hAnsi="Lato"/>
          <w:color w:val="111827"/>
          <w:sz w:val="21"/>
          <w:szCs w:val="21"/>
        </w:rPr>
        <w:t xml:space="preserve">Purely a Web/UI change; no API, database or business-logic impact. Low risk.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B. Contain the bootstrap admin (Finding 2)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Lato" w:cs="Lato" w:eastAsia="Lato" w:hAnsi="Lato"/>
          <w:color w:val="111827"/>
          <w:sz w:val="21"/>
          <w:szCs w:val="21"/>
        </w:rPr>
        <w:t xml:space="preserve">Confirm ReviewLogin stays blank in every production appsettings, and optionally gate it to the Development environment in code so it can never be enabled in production by configuration alone.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C. Decide on the config role map, baseline reads and aliases (Findings 1, 3, 4)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Lato" w:cs="Lato" w:eastAsia="Lato" w:hAnsi="Lato"/>
          <w:color w:val="111827"/>
          <w:sz w:val="21"/>
          <w:szCs w:val="21"/>
        </w:rPr>
        <w:t xml:space="preserve">These are deliberate and load-bearing: removing SupportingReads or the aliases will break lookups and the operationalize screen; the wildcard map backs the bootstrap admin.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Lato" w:cs="Lato" w:eastAsia="Lato" w:hAnsi="Lato"/>
          <w:color w:val="111827"/>
          <w:sz w:val="21"/>
          <w:szCs w:val="21"/>
        </w:rPr>
        <w:t xml:space="preserve">Recommendation: document and keep them. If you want a strict "everything lives on the Role Permission page" model, the alternative is to move these grants into menu_master + Role Permission seed data — a larger change with migration and regression cost.</w:t>
      </w:r>
    </w:p>
    <w:p>
      <w:pPr>
        <w:pStyle w:val="Heading3"/>
        <w:spacing w:after="80" w:before="200"/>
      </w:pPr>
      <w:r>
        <w:rPr>
          <w:rFonts w:ascii="Lato" w:cs="Lato" w:eastAsia="Lato" w:hAnsi="Lato"/>
          <w:b/>
          <w:bCs/>
          <w:color w:val="0C1129"/>
          <w:sz w:val="21"/>
          <w:szCs w:val="21"/>
        </w:rPr>
        <w:t xml:space="preserve">D. Document the data-scope axis (Findings 5, 6)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Lato" w:cs="Lato" w:eastAsia="Lato" w:hAnsi="Lato"/>
          <w:color w:val="111827"/>
          <w:sz w:val="21"/>
          <w:szCs w:val="21"/>
        </w:rPr>
        <w:t xml:space="preserve">Record @is_system_admin and DataScope as an intentional, role-attached data-visibility layer that sits alongside (not inside) the menu permissions, so future work does not mistake them for stray rules.</w:t>
      </w:r>
    </w:p>
    <w:p>
      <w:pPr>
        <w:pStyle w:val="Heading2"/>
        <w:spacing w:after="110" w:before="260"/>
      </w:pPr>
      <w:r>
        <w:rPr>
          <w:rFonts w:ascii="Lato" w:cs="Lato" w:eastAsia="Lato" w:hAnsi="Lato"/>
          <w:b/>
          <w:bCs/>
          <w:color w:val="467CEB"/>
          <w:sz w:val="24"/>
          <w:szCs w:val="24"/>
        </w:rPr>
        <w:t xml:space="preserve">Suggested sequence</w:t>
      </w:r>
    </w:p>
    <w:tbl>
      <w:tblPr>
        <w:tblW w:type="dxa" w:w="936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900"/>
        <w:gridCol w:w="6560"/>
        <w:gridCol w:w="1900"/>
      </w:tblGrid>
      <w:tr>
        <w:trPr>
          <w:tblHeader/>
        </w:trPr>
        <w:tc>
          <w:tcPr>
            <w:tcW w:type="dxa" w:w="90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56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190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Implement A (nested-tab action gating).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65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Implement B (lock down bootstrap admin to non-prod).</w:t>
            </w:r>
          </w:p>
        </w:tc>
        <w:tc>
          <w:tcPr>
            <w:tcW w:type="dxa" w:w="19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Confirm decision on C and D; document accordingly.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None (docs)</w:t>
            </w:r>
          </w:p>
        </w:tc>
      </w:tr>
      <w:tr>
        <w:tc>
          <w:tcPr>
            <w:tcW w:type="dxa" w:w="9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65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Optional: fold config/alias grants into the Role Permission page (only if strict page-only is required).</w:t>
            </w:r>
          </w:p>
        </w:tc>
        <w:tc>
          <w:tcPr>
            <w:tcW w:type="dxa" w:w="19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Higher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67CEB" w:sz="12" w:space="6"/>
        </w:pBdr>
        <w:spacing w:after="160" w:before="360"/>
      </w:pPr>
      <w:r>
        <w:rPr>
          <w:rFonts w:ascii="Lato" w:cs="Lato" w:eastAsia="Lato" w:hAnsi="Lato"/>
          <w:b/>
          <w:bCs/>
          <w:color w:val="0C1129"/>
          <w:sz w:val="29"/>
          <w:szCs w:val="29"/>
        </w:rPr>
        <w:t xml:space="preserve">Appendix A. Key locations</w:t>
      </w:r>
    </w:p>
    <w:tbl>
      <w:tblPr>
        <w:tblW w:type="dxa" w:w="936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760"/>
            <w:shd w:fill="0C11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FFFFFF"/>
                <w:sz w:val="19"/>
                <w:szCs w:val="19"/>
              </w:rPr>
              <w:t xml:space="preserve">File / object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Role permission load (source of truth)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PracticeManagement.Api — PracticeAuthenticationService.LoadPermissionsAsync (reads organization_role_menu_permission + menu_master)</w:t>
            </w:r>
          </w:p>
        </w:tc>
      </w:tr>
      <w:tr>
        <w:tc>
          <w:tcPr>
            <w:tcW w:type="dxa" w:w="26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Session claims / alias expansion / baseline reads</w:t>
            </w:r>
          </w:p>
        </w:tc>
        <w:tc>
          <w:tcPr>
            <w:tcW w:type="dxa" w:w="67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PracticeManagement.Web — LoginController (SignIn, ExpandPermissionAliases, SupportingReads)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Config role map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appsettings.json (Web and API) — Security:RolePermissions</w:t>
            </w:r>
          </w:p>
        </w:tc>
      </w:tr>
      <w:tr>
        <w:tc>
          <w:tcPr>
            <w:tcW w:type="dxa" w:w="26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Bootstrap admin</w:t>
            </w:r>
          </w:p>
        </w:tc>
        <w:tc>
          <w:tcPr>
            <w:tcW w:type="dxa" w:w="67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appsettings(.Development).json — ReviewLogin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Permission evaluator (shared)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ControlManagement.Security — PermissionPolicy (used by both tiers)</w:t>
            </w:r>
          </w:p>
        </w:tc>
      </w:tr>
      <w:tr>
        <w:tc>
          <w:tcPr>
            <w:tcW w:type="dxa" w:w="26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Entity → area mapping (shared, linked)</w:t>
            </w:r>
          </w:p>
        </w:tc>
        <w:tc>
          <w:tcPr>
            <w:tcW w:type="dxa" w:w="67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PracticeManagement.Web/Security/PermissionAreaMap.cs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UI page/action gating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PracticeController (IsAllowed, ActionsFor) and wwwroot/js/practice.js (permissions.has)</w:t>
            </w:r>
          </w:p>
        </w:tc>
      </w:tr>
      <w:tr>
        <w:tc>
          <w:tcPr>
            <w:tcW w:type="dxa" w:w="260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API enforcement</w:t>
            </w:r>
          </w:p>
        </w:tc>
        <w:tc>
          <w:tcPr>
            <w:tcW w:type="dxa" w:w="6760"/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PracticeManagement.Api — PracticeRepositoryController (IsAllowed on every call)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Data scope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6"/>
            </w:pPr>
            <w:r>
              <w:rPr>
                <w:rFonts w:ascii="Lato" w:cs="Lato" w:eastAsia="Lato" w:hAnsi="Lato"/>
                <w:color w:val="1F2937"/>
                <w:sz w:val="19"/>
                <w:szCs w:val="19"/>
              </w:rPr>
              <w:t xml:space="preserve">organization_role.data_scope; @is_system_admin in list procedures</w:t>
            </w:r>
          </w:p>
        </w:tc>
      </w:tr>
    </w:tbl>
    <w:p>
      <w:pPr>
        <w:spacing w:before="260"/>
        <w:jc w:val="center"/>
      </w:pPr>
      <w:r>
        <w:rPr>
          <w:rFonts w:ascii="Lato" w:cs="Lato" w:eastAsia="Lato" w:hAnsi="Lato"/>
          <w:color w:val="6B7280"/>
          <w:sz w:val="16"/>
          <w:szCs w:val="16"/>
        </w:rPr>
        <w:t xml:space="preserve">GRAC Sentinel Pvt Ltd  —  Authorization Audit  —  Confidential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0"/>
      <w:jc w:val="center"/>
    </w:pPr>
    <w:r>
      <w:rPr>
        <w:rFonts w:ascii="Lato" w:cs="Lato" w:eastAsia="Lato" w:hAnsi="Lato"/>
        <w:color w:val="6B7280"/>
        <w:sz w:val="15"/>
        <w:szCs w:val="15"/>
      </w:rPr>
      <w:t xml:space="preserve">GRAC Sentinel  —  Confidential          Page </w:t>
    </w:r>
    <w:r>
      <w:rPr>
        <w:rFonts w:ascii="Lato" w:cs="Lato" w:eastAsia="Lato" w:hAnsi="Lato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0"/>
      <w:jc w:val="right"/>
    </w:pPr>
    <w:r>
      <w:rPr>
        <w:rFonts w:ascii="Lato" w:cs="Lato" w:eastAsia="Lato" w:hAnsi="Lato"/>
        <w:color w:val="6B7280"/>
        <w:sz w:val="15"/>
        <w:szCs w:val="15"/>
      </w:rPr>
      <w:t xml:space="preserve">GRAC  |  Authorization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467C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Lato" w:cs="Lato" w:eastAsia="Lato" w:hAnsi="Lato"/>
      <w:b/>
      <w:bCs/>
      <w:color w:val="0C1129"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Lato" w:cs="Lato" w:eastAsia="Lato" w:hAnsi="Lato"/>
      <w:b/>
      <w:bCs/>
      <w:color w:val="467CEB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Lato" w:cs="Lato" w:eastAsia="Lato" w:hAnsi="Lato"/>
      <w:b/>
      <w:bCs/>
      <w:color w:val="0C112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GRAC — Module Permission &amp; Authorization Audit</dc:title>
  <dc:creator>GRAC Sentinel Pvt Ltd</dc:creator>
  <dc:description>Audit and standardization review of the Practice Management authorization model</dc:description>
  <cp:lastModifiedBy>Un-named</cp:lastModifiedBy>
  <cp:revision>1</cp:revision>
  <dcterms:created xsi:type="dcterms:W3CDTF">2026-09-22T16:48:56.258Z</dcterms:created>
  <dcterms:modified xsi:type="dcterms:W3CDTF">2026-09-22T16:48:56.266Z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