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left"/>
      </w:pPr>
      <w:r>
        <w:rPr>
          <w:rFonts w:ascii="Lato" w:cs="Lato" w:eastAsia="Lato" w:hAnsi="Lato"/>
          <w:b/>
          <w:bCs/>
          <w:color w:val="0C1129"/>
          <w:sz w:val="72"/>
          <w:szCs w:val="72"/>
        </w:rPr>
        <w:t xml:space="preserve">GRAC</w:t>
      </w:r>
      <w:r>
        <w:rPr>
          <w:rFonts w:ascii="Lato" w:cs="Lato" w:eastAsia="Lato" w:hAnsi="Lato"/>
          <w:b/>
          <w:bCs/>
          <w:color w:val="467CEB"/>
          <w:sz w:val="40"/>
          <w:szCs w:val="40"/>
        </w:rPr>
        <w:t xml:space="preserve">  Sentinel</w:t>
      </w:r>
    </w:p>
    <w:p>
      <w:pPr>
        <w:pBdr>
          <w:bottom w:val="single" w:color="E8A33D" w:sz="18" w:space="10"/>
        </w:pBdr>
        <w:spacing w:after="0" w:before="40"/>
      </w:pPr>
      <w:r>
        <w:rPr>
          <w:rFonts w:ascii="Lato" w:cs="Lato" w:eastAsia="Lato" w:hAnsi="Lato"/>
          <w:i/>
          <w:iCs/>
          <w:color w:val="6B7280"/>
          <w:sz w:val="22"/>
          <w:szCs w:val="22"/>
        </w:rPr>
        <w:t xml:space="preserve">Continuous Compliance Assured.</w:t>
      </w:r>
    </w:p>
    <w:p>
      <w:pPr>
        <w:spacing w:after="0" w:before="520"/>
      </w:pPr>
      <w:r>
        <w:rPr>
          <w:rFonts w:ascii="Lato" w:cs="Lato" w:eastAsia="Lato" w:hAnsi="Lato"/>
          <w:b/>
          <w:bCs/>
          <w:color w:val="0C1129"/>
          <w:sz w:val="52"/>
          <w:szCs w:val="52"/>
        </w:rPr>
        <w:t xml:space="preserve">Practice Management Module</w:t>
      </w:r>
    </w:p>
    <w:p>
      <w:pPr>
        <w:spacing w:after="0" w:before="60"/>
      </w:pPr>
      <w:r>
        <w:rPr>
          <w:rFonts w:ascii="Lato" w:cs="Lato" w:eastAsia="Lato" w:hAnsi="Lato"/>
          <w:color w:val="467CEB"/>
          <w:sz w:val="40"/>
          <w:szCs w:val="40"/>
        </w:rPr>
        <w:t xml:space="preserve">User Guide</w:t>
      </w:r>
    </w:p>
    <w:p>
      <w:pPr>
        <w:spacing w:after="0" w:before="40"/>
      </w:pPr>
      <w:r>
        <w:rPr>
          <w:rFonts w:ascii="Lato" w:cs="Lato" w:eastAsia="Lato" w:hAnsi="Lato"/>
          <w:color w:val="6B7280"/>
          <w:sz w:val="22"/>
          <w:szCs w:val="22"/>
        </w:rPr>
        <w:t xml:space="preserve">End-to-end guide for administrators and end users</w:t>
      </w:r>
    </w:p>
    <w:p>
      <w:pPr>
        <w:spacing w:after="0" w:before="1600"/>
      </w:pPr>
      <w:r>
        <w:rPr>
          <w:rFonts w:ascii="Lato" w:cs="Lato" w:eastAsia="Lato" w:hAnsi="Lato"/>
          <w:color w:val="374151"/>
          <w:sz w:val="20"/>
          <w:szCs w:val="20"/>
        </w:rPr>
        <w:t xml:space="preserve">Version 1.0</w:t>
      </w:r>
    </w:p>
    <w:p>
      <w:pPr>
        <w:spacing w:after="0" w:before="20"/>
      </w:pPr>
      <w:r>
        <w:rPr>
          <w:rFonts w:ascii="Lato" w:cs="Lato" w:eastAsia="Lato" w:hAnsi="Lato"/>
          <w:color w:val="374151"/>
          <w:sz w:val="20"/>
          <w:szCs w:val="20"/>
        </w:rPr>
        <w:t xml:space="preserve">September 2026</w:t>
      </w:r>
    </w:p>
    <w:p>
      <w:pPr>
        <w:spacing w:after="0" w:before="20"/>
      </w:pPr>
      <w:r>
        <w:rPr>
          <w:rFonts w:ascii="Lato" w:cs="Lato" w:eastAsia="Lato" w:hAnsi="Lato"/>
          <w:color w:val="6B7280"/>
          <w:sz w:val="18"/>
          <w:szCs w:val="18"/>
        </w:rPr>
        <w:t xml:space="preserve">GRAC Sentinel Pvt Ltd — Confidential</w:t>
      </w:r>
    </w:p>
    <w:p>
      <w:r>
        <w:br w:type="page"/>
      </w:r>
    </w:p>
    <w:p>
      <w:pPr>
        <w:spacing w:after="160"/>
      </w:pPr>
      <w:r>
        <w:rPr>
          <w:rFonts w:ascii="Lato" w:cs="Lato" w:eastAsia="Lato" w:hAnsi="Lato"/>
          <w:b/>
          <w:bCs/>
          <w:color w:val="0C112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467CEB" w:sz="12" w:space="6"/>
        </w:pBdr>
        <w:spacing w:after="160" w:before="360"/>
      </w:pPr>
      <w:r>
        <w:rPr>
          <w:rFonts w:ascii="Lato" w:cs="Lato" w:eastAsia="Lato" w:hAnsi="Lato"/>
          <w:b/>
          <w:bCs/>
          <w:color w:val="0C1129"/>
          <w:sz w:val="30"/>
          <w:szCs w:val="30"/>
        </w:rPr>
        <w:t xml:space="preserve">1. Introduction</w:t>
      </w:r>
    </w:p>
    <w:p>
      <w:pPr>
        <w:spacing w:after="120" w:before="0" w:line="276"/>
      </w:pPr>
      <w:r>
        <w:rPr>
          <w:rFonts w:ascii="Lato" w:cs="Lato" w:eastAsia="Lato" w:hAnsi="Lato"/>
          <w:b w:val="false"/>
          <w:bCs w:val="false"/>
          <w:i w:val="false"/>
          <w:iCs w:val="false"/>
          <w:color w:val="111827"/>
          <w:sz w:val="21"/>
          <w:szCs w:val="21"/>
        </w:rPr>
        <w:t xml:space="preserve">The Practice Management module is the heart of the GRAC platform. It takes the compliance obligations an organization is subject to — drawn from regulatory frameworks, standards and internal policy — and carries them all the way through to assured, evidenced, day-to-day operation. In one connected flow an organization subscribes to the frameworks that apply to it, decides which requirements are relevant, turns each relevant requirement into a concrete practice, assigns that practice to the teams who will run it, gathers the evidence that proves it is working, and continuously watches for gaps, risks and exceptions.</w:t>
      </w:r>
    </w:p>
    <w:p>
      <w:pPr>
        <w:spacing w:after="120" w:before="0" w:line="276"/>
      </w:pPr>
      <w:r>
        <w:rPr>
          <w:rFonts w:ascii="Lato" w:cs="Lato" w:eastAsia="Lato" w:hAnsi="Lato"/>
          <w:b w:val="false"/>
          <w:bCs w:val="false"/>
          <w:i w:val="false"/>
          <w:iCs w:val="false"/>
          <w:color w:val="111827"/>
          <w:sz w:val="21"/>
          <w:szCs w:val="21"/>
        </w:rPr>
        <w:t xml:space="preserve">This guide covers the module end to end. It is written for two audiences, and each section says who it is for:</w:t>
      </w:r>
    </w:p>
    <w:p>
      <w:pPr>
        <w:pStyle w:val="ListParagraph"/>
        <w:numPr>
          <w:ilvl w:val="0"/>
          <w:numId w:val="2"/>
        </w:numPr>
        <w:spacing w:after="80" w:line="268"/>
      </w:pPr>
      <w:r>
        <w:rPr>
          <w:rFonts w:ascii="Lato" w:cs="Lato" w:eastAsia="Lato" w:hAnsi="Lato"/>
          <w:b/>
          <w:bCs/>
          <w:color w:val="0C1129"/>
          <w:sz w:val="21"/>
          <w:szCs w:val="21"/>
        </w:rPr>
        <w:t xml:space="preserve">Administrators</w:t>
      </w:r>
      <w:r>
        <w:rPr>
          <w:rFonts w:ascii="Lato" w:cs="Lato" w:eastAsia="Lato" w:hAnsi="Lato"/>
          <w:color w:val="111827"/>
          <w:sz w:val="21"/>
          <w:szCs w:val="21"/>
        </w:rPr>
        <w:t xml:space="preserve"> — who set up the organization, its structure, its users and roles, its dependency registers, its framework subscriptions and its SLAs. Most of this is one-time or occasional work and is covered in Part A.</w:t>
      </w:r>
    </w:p>
    <w:p>
      <w:pPr>
        <w:pStyle w:val="ListParagraph"/>
        <w:numPr>
          <w:ilvl w:val="0"/>
          <w:numId w:val="2"/>
        </w:numPr>
        <w:spacing w:after="80" w:line="268"/>
      </w:pPr>
      <w:r>
        <w:rPr>
          <w:rFonts w:ascii="Lato" w:cs="Lato" w:eastAsia="Lato" w:hAnsi="Lato"/>
          <w:b/>
          <w:bCs/>
          <w:color w:val="0C1129"/>
          <w:sz w:val="21"/>
          <w:szCs w:val="21"/>
        </w:rPr>
        <w:t xml:space="preserve">End users</w:t>
      </w:r>
      <w:r>
        <w:rPr>
          <w:rFonts w:ascii="Lato" w:cs="Lato" w:eastAsia="Lato" w:hAnsi="Lato"/>
          <w:color w:val="111827"/>
          <w:sz w:val="21"/>
          <w:szCs w:val="21"/>
        </w:rPr>
        <w:t xml:space="preserve"> — compliance, risk and operations staff who work the module every day: deciding applicability, operationalizing practices, closing gaps, completing tasks, and running assurance. This is Part B.</w:t>
      </w:r>
    </w:p>
    <w:tbl>
      <w:tblPr>
        <w:tblW w:type="dxa" w:w="9360"/>
        <w:tblBorders>
          <w:top w:val="single" w:color="C9D8F5" w:sz="4"/>
          <w:left w:val="single" w:color="467CEB"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467CEB"/>
                <w:sz w:val="20"/>
                <w:szCs w:val="20"/>
              </w:rPr>
              <w:t xml:space="preserve">Note: </w:t>
            </w:r>
            <w:r>
              <w:rPr>
                <w:rFonts w:ascii="Lato" w:cs="Lato" w:eastAsia="Lato" w:hAnsi="Lato"/>
                <w:color w:val="1F2937"/>
                <w:sz w:val="20"/>
                <w:szCs w:val="20"/>
              </w:rPr>
              <w:t xml:space="preserve">Screens, columns and options are controlled by your role permissions and by which centers your organization has enabled. If a screen named here is not in your sidebar, either your role does not have access to it or the center is not enabled for your organization — ask your administrator.</w:t>
            </w:r>
          </w:p>
        </w:tc>
      </w:tr>
    </w:tbl>
    <w:p>
      <w:pPr>
        <w:pStyle w:val="Heading2"/>
        <w:spacing w:after="120" w:before="280"/>
      </w:pPr>
      <w:r>
        <w:rPr>
          <w:rFonts w:ascii="Lato" w:cs="Lato" w:eastAsia="Lato" w:hAnsi="Lato"/>
          <w:b/>
          <w:bCs/>
          <w:color w:val="467CEB"/>
          <w:sz w:val="25"/>
          <w:szCs w:val="25"/>
        </w:rPr>
        <w:t xml:space="preserve">Key concepts</w:t>
      </w:r>
    </w:p>
    <w:p>
      <w:pPr>
        <w:spacing w:after="120" w:before="0" w:line="276"/>
      </w:pPr>
      <w:r>
        <w:rPr>
          <w:rFonts w:ascii="Lato" w:cs="Lato" w:eastAsia="Lato" w:hAnsi="Lato"/>
          <w:b w:val="false"/>
          <w:bCs w:val="false"/>
          <w:i w:val="false"/>
          <w:iCs w:val="false"/>
          <w:color w:val="111827"/>
          <w:sz w:val="21"/>
          <w:szCs w:val="21"/>
        </w:rPr>
        <w:t xml:space="preserve">A few terms recur throughout the module. Understanding them makes the rest of the guide straightforward.</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400"/>
        <w:gridCol w:w="6960"/>
      </w:tblGrid>
      <w:tr>
        <w:trPr>
          <w:tblHeader/>
        </w:trPr>
        <w:tc>
          <w:tcPr>
            <w:tcW w:type="dxa" w:w="24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Term</w:t>
            </w:r>
          </w:p>
        </w:tc>
        <w:tc>
          <w:tcPr>
            <w:tcW w:type="dxa" w:w="69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What it means</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Framework / Release</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regulatory or standards body of requirements (for example PCI-DSS, an RBI master direction, or ISO 27001) at a specific published version. An organization subscribes to the releases that apply to it.</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Source Statement</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 individual requirement inside a framework release — the atomic clause an organization has to satisfy.</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organization’s chosen way of satisfying one or more source statements. A practice is the "how we do it" that sits against the "what is required".</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 Instance</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One team’s copy of a practice. The same practice can run in several teams; each team gets its own instance with its own owner, frequency and evidence.</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Obligation</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specific thing a practice instance must do or hold — an execution obligation (an activity to perform) or an evidence obligation (a record to keep).</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Applicability</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decision that a requirement or practice does or does not apply to the organization, with a recorded reason.</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Implementation Status</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How far a practice instance has been operationalized — driven automatically from whether all of its obligations are adopted and evidenced.</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Gap</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Any place where something required is not yet implemented, assured or evidenced. Gaps are the unified work queue.</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independent check that a practice instance is actually operating effectively — verifying evidence and dependencies over an assurance period.</w:t>
            </w:r>
          </w:p>
        </w:tc>
      </w:tr>
    </w:tbl>
    <w:p>
      <w:pPr>
        <w:pStyle w:val="Heading2"/>
        <w:spacing w:after="120" w:before="280"/>
      </w:pPr>
      <w:r>
        <w:rPr>
          <w:rFonts w:ascii="Lato" w:cs="Lato" w:eastAsia="Lato" w:hAnsi="Lato"/>
          <w:b/>
          <w:bCs/>
          <w:color w:val="467CEB"/>
          <w:sz w:val="25"/>
          <w:szCs w:val="25"/>
        </w:rPr>
        <w:t xml:space="preserve">How the module is organized</w:t>
      </w:r>
    </w:p>
    <w:p>
      <w:pPr>
        <w:spacing w:after="120" w:before="0" w:line="276"/>
      </w:pPr>
      <w:r>
        <w:rPr>
          <w:rFonts w:ascii="Lato" w:cs="Lato" w:eastAsia="Lato" w:hAnsi="Lato"/>
          <w:b w:val="false"/>
          <w:bCs w:val="false"/>
          <w:i w:val="false"/>
          <w:iCs w:val="false"/>
          <w:color w:val="111827"/>
          <w:sz w:val="21"/>
          <w:szCs w:val="21"/>
        </w:rPr>
        <w:t xml:space="preserve">The left sidebar groups every screen into a small number of areas. The order below is also, broadly, the order work flows in.</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900"/>
        <w:gridCol w:w="6460"/>
      </w:tblGrid>
      <w:tr>
        <w:trPr>
          <w:tblHeader/>
        </w:trPr>
        <w:tc>
          <w:tcPr>
            <w:tcW w:type="dxa" w:w="29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Sidebar group</w:t>
            </w:r>
          </w:p>
        </w:tc>
        <w:tc>
          <w:tcPr>
            <w:tcW w:type="dxa" w:w="64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What lives there</w:t>
            </w:r>
          </w:p>
        </w:tc>
      </w:tr>
      <w:tr>
        <w:tc>
          <w:tcPr>
            <w:tcW w:type="dxa" w:w="29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Dashboard</w:t>
            </w:r>
          </w:p>
        </w:tc>
        <w:tc>
          <w:tcPr>
            <w:tcW w:type="dxa" w:w="64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summary view of the module for the selected organization.</w:t>
            </w:r>
          </w:p>
        </w:tc>
      </w:tr>
      <w:tr>
        <w:tc>
          <w:tcPr>
            <w:tcW w:type="dxa" w:w="29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Organization Setup</w:t>
            </w:r>
          </w:p>
        </w:tc>
        <w:tc>
          <w:tcPr>
            <w:tcW w:type="dxa" w:w="64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Onboarding a new organization and its structure — metadata, locations, departments, business functions, teams, committees, employees, repository subscriptions.</w:t>
            </w:r>
          </w:p>
        </w:tc>
      </w:tr>
      <w:tr>
        <w:tc>
          <w:tcPr>
            <w:tcW w:type="dxa" w:w="29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Organization Administration</w:t>
            </w:r>
          </w:p>
        </w:tc>
        <w:tc>
          <w:tcPr>
            <w:tcW w:type="dxa" w:w="64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same organization structure, for organization users to maintain after onboarding.</w:t>
            </w:r>
          </w:p>
        </w:tc>
      </w:tr>
      <w:tr>
        <w:tc>
          <w:tcPr>
            <w:tcW w:type="dxa" w:w="29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Organization Access Administration</w:t>
            </w:r>
          </w:p>
        </w:tc>
        <w:tc>
          <w:tcPr>
            <w:tcW w:type="dxa" w:w="64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Roles, role–menu permissions, user–role assignments, users and ownership.</w:t>
            </w:r>
          </w:p>
        </w:tc>
      </w:tr>
      <w:tr>
        <w:tc>
          <w:tcPr>
            <w:tcW w:type="dxa" w:w="29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Registers / Organization Dependencies</w:t>
            </w:r>
          </w:p>
        </w:tc>
        <w:tc>
          <w:tcPr>
            <w:tcW w:type="dxa" w:w="64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Master data for the things practices depend on — applications, tools, vendors, assets, processes — and the custodian queues that resolve them.</w:t>
            </w:r>
          </w:p>
        </w:tc>
      </w:tr>
      <w:tr>
        <w:tc>
          <w:tcPr>
            <w:tcW w:type="dxa" w:w="29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 Management</w:t>
            </w:r>
          </w:p>
        </w:tc>
        <w:tc>
          <w:tcPr>
            <w:tcW w:type="dxa" w:w="64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governance core — Repository Subscriptions, Source Statements, Practices, Practice detail, Evidence configuration and obligations.</w:t>
            </w:r>
          </w:p>
        </w:tc>
      </w:tr>
      <w:tr>
        <w:tc>
          <w:tcPr>
            <w:tcW w:type="dxa" w:w="29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Oversight</w:t>
            </w:r>
          </w:p>
        </w:tc>
        <w:tc>
          <w:tcPr>
            <w:tcW w:type="dxa" w:w="64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daily work centers — Gap Center, Task Center, Exception Centre, Risk Centre, Audit Calendar, notifications and document acknowledgements.</w:t>
            </w:r>
          </w:p>
        </w:tc>
      </w:tr>
      <w:tr>
        <w:tc>
          <w:tcPr>
            <w:tcW w:type="dxa" w:w="29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 Management</w:t>
            </w:r>
          </w:p>
        </w:tc>
        <w:tc>
          <w:tcPr>
            <w:tcW w:type="dxa" w:w="64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Generating and executing assurance, findings, signals, trends and practice-health intelligence.</w:t>
            </w:r>
          </w:p>
        </w:tc>
      </w:tr>
      <w:tr>
        <w:tc>
          <w:tcPr>
            <w:tcW w:type="dxa" w:w="29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Audit Management</w:t>
            </w:r>
          </w:p>
        </w:tc>
        <w:tc>
          <w:tcPr>
            <w:tcW w:type="dxa" w:w="64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Defining, scoping, scheduling and executing formal audits and recording observations.</w:t>
            </w:r>
          </w:p>
        </w:tc>
      </w:tr>
      <w:tr>
        <w:tc>
          <w:tcPr>
            <w:tcW w:type="dxa" w:w="29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Workflow</w:t>
            </w:r>
          </w:p>
        </w:tc>
        <w:tc>
          <w:tcPr>
            <w:tcW w:type="dxa" w:w="64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Organization-defined workflows, events, checklists and event-driven assurance.</w:t>
            </w:r>
          </w:p>
        </w:tc>
      </w:tr>
    </w:tbl>
    <w:p>
      <w:r>
        <w:br w:type="page"/>
      </w:r>
    </w:p>
    <w:p>
      <w:pPr>
        <w:pStyle w:val="Heading1"/>
        <w:pBdr>
          <w:bottom w:val="single" w:color="467CEB" w:sz="12" w:space="6"/>
        </w:pBdr>
        <w:spacing w:after="160" w:before="360"/>
      </w:pPr>
      <w:r>
        <w:rPr>
          <w:rFonts w:ascii="Lato" w:cs="Lato" w:eastAsia="Lato" w:hAnsi="Lato"/>
          <w:b/>
          <w:bCs/>
          <w:color w:val="0C1129"/>
          <w:sz w:val="30"/>
          <w:szCs w:val="30"/>
        </w:rPr>
        <w:t xml:space="preserve">2. Getting started</w:t>
      </w:r>
    </w:p>
    <w:p>
      <w:pPr>
        <w:pStyle w:val="Heading3"/>
        <w:spacing w:after="80" w:before="200"/>
      </w:pPr>
      <w:r>
        <w:rPr>
          <w:rFonts w:ascii="Lato" w:cs="Lato" w:eastAsia="Lato" w:hAnsi="Lato"/>
          <w:b/>
          <w:bCs/>
          <w:color w:val="0C1129"/>
          <w:sz w:val="22"/>
          <w:szCs w:val="22"/>
        </w:rPr>
        <w:t xml:space="preserve">Signing in</w:t>
      </w:r>
    </w:p>
    <w:p>
      <w:pPr>
        <w:pStyle w:val="ListParagraph"/>
        <w:numPr>
          <w:ilvl w:val="0"/>
          <w:numId w:val="3"/>
        </w:numPr>
        <w:spacing w:after="90" w:line="268"/>
      </w:pPr>
      <w:r>
        <w:rPr>
          <w:rFonts w:ascii="Lato" w:cs="Lato" w:eastAsia="Lato" w:hAnsi="Lato"/>
          <w:color w:val="111827"/>
          <w:sz w:val="21"/>
          <w:szCs w:val="21"/>
        </w:rPr>
        <w:t xml:space="preserve">Open the GRAC application in your browser and sign in with your organization email and password.</w:t>
      </w:r>
    </w:p>
    <w:p>
      <w:pPr>
        <w:pStyle w:val="ListParagraph"/>
        <w:numPr>
          <w:ilvl w:val="0"/>
          <w:numId w:val="3"/>
        </w:numPr>
        <w:spacing w:after="90" w:line="268"/>
      </w:pPr>
      <w:r>
        <w:rPr>
          <w:rFonts w:ascii="Lato" w:cs="Lato" w:eastAsia="Lato" w:hAnsi="Lato"/>
          <w:color w:val="111827"/>
          <w:sz w:val="21"/>
          <w:szCs w:val="21"/>
        </w:rPr>
        <w:t xml:space="preserve">You arrive at the Practice Management dashboard for your organization.</w:t>
      </w:r>
    </w:p>
    <w:p>
      <w:pPr>
        <w:pStyle w:val="Heading3"/>
        <w:spacing w:after="80" w:before="200"/>
      </w:pPr>
      <w:r>
        <w:rPr>
          <w:rFonts w:ascii="Lato" w:cs="Lato" w:eastAsia="Lato" w:hAnsi="Lato"/>
          <w:b/>
          <w:bCs/>
          <w:color w:val="0C1129"/>
          <w:sz w:val="22"/>
          <w:szCs w:val="22"/>
        </w:rPr>
        <w:t xml:space="preserve">Finding your way around</w:t>
      </w:r>
    </w:p>
    <w:p>
      <w:pPr>
        <w:pStyle w:val="ListParagraph"/>
        <w:numPr>
          <w:ilvl w:val="0"/>
          <w:numId w:val="2"/>
        </w:numPr>
        <w:spacing w:after="80" w:line="268"/>
      </w:pPr>
      <w:r>
        <w:rPr>
          <w:rFonts w:ascii="Lato" w:cs="Lato" w:eastAsia="Lato" w:hAnsi="Lato"/>
          <w:b/>
          <w:bCs/>
          <w:color w:val="0C1129"/>
          <w:sz w:val="21"/>
          <w:szCs w:val="21"/>
        </w:rPr>
        <w:t xml:space="preserve">Sidebar (left). </w:t>
      </w:r>
      <w:r>
        <w:rPr>
          <w:rFonts w:ascii="Lato" w:cs="Lato" w:eastAsia="Lato" w:hAnsi="Lato"/>
          <w:color w:val="111827"/>
          <w:sz w:val="21"/>
          <w:szCs w:val="21"/>
        </w:rPr>
        <w:t xml:space="preserve">Expands and collapses; groups open to reveal their screens. The active screen is highlighted. Every screen title also appears as an eyebrow at the top of the work area, in the form Group / Screen.</w:t>
      </w:r>
    </w:p>
    <w:p>
      <w:pPr>
        <w:pStyle w:val="ListParagraph"/>
        <w:numPr>
          <w:ilvl w:val="0"/>
          <w:numId w:val="2"/>
        </w:numPr>
        <w:spacing w:after="80" w:line="268"/>
      </w:pPr>
      <w:r>
        <w:rPr>
          <w:rFonts w:ascii="Lato" w:cs="Lato" w:eastAsia="Lato" w:hAnsi="Lato"/>
          <w:b/>
          <w:bCs/>
          <w:color w:val="0C1129"/>
          <w:sz w:val="21"/>
          <w:szCs w:val="21"/>
        </w:rPr>
        <w:t xml:space="preserve">Organization selector. </w:t>
      </w:r>
      <w:r>
        <w:rPr>
          <w:rFonts w:ascii="Lato" w:cs="Lato" w:eastAsia="Lato" w:hAnsi="Lato"/>
          <w:color w:val="111827"/>
          <w:sz w:val="21"/>
          <w:szCs w:val="21"/>
        </w:rPr>
        <w:t xml:space="preserve">Most screens have an organization dropdown near the top. GRAC is multi-organization; the data you see always belongs to the organization selected here. If a record seems "missing", first confirm the right organization is selected.</w:t>
      </w:r>
    </w:p>
    <w:p>
      <w:pPr>
        <w:pStyle w:val="ListParagraph"/>
        <w:numPr>
          <w:ilvl w:val="0"/>
          <w:numId w:val="2"/>
        </w:numPr>
        <w:spacing w:after="80" w:line="268"/>
      </w:pPr>
      <w:r>
        <w:rPr>
          <w:rFonts w:ascii="Lato" w:cs="Lato" w:eastAsia="Lato" w:hAnsi="Lato"/>
          <w:b/>
          <w:bCs/>
          <w:color w:val="0C1129"/>
          <w:sz w:val="21"/>
          <w:szCs w:val="21"/>
        </w:rPr>
        <w:t xml:space="preserve">Grids. </w:t>
      </w:r>
      <w:r>
        <w:rPr>
          <w:rFonts w:ascii="Lato" w:cs="Lato" w:eastAsia="Lato" w:hAnsi="Lato"/>
          <w:color w:val="111827"/>
          <w:sz w:val="21"/>
          <w:szCs w:val="21"/>
        </w:rPr>
        <w:t xml:space="preserve">Most screens are a grid with filters above it and a row menu (the three-dot button) on the right of each row for actions such as View, Edit, Configure, Retire or Restore.</w:t>
      </w:r>
    </w:p>
    <w:p>
      <w:pPr>
        <w:pStyle w:val="ListParagraph"/>
        <w:numPr>
          <w:ilvl w:val="0"/>
          <w:numId w:val="2"/>
        </w:numPr>
        <w:spacing w:after="80" w:line="268"/>
      </w:pPr>
      <w:r>
        <w:rPr>
          <w:rFonts w:ascii="Lato" w:cs="Lato" w:eastAsia="Lato" w:hAnsi="Lato"/>
          <w:b/>
          <w:bCs/>
          <w:color w:val="0C1129"/>
          <w:sz w:val="21"/>
          <w:szCs w:val="21"/>
        </w:rPr>
        <w:t xml:space="preserve">Dates. </w:t>
      </w:r>
      <w:r>
        <w:rPr>
          <w:rFonts w:ascii="Lato" w:cs="Lato" w:eastAsia="Lato" w:hAnsi="Lato"/>
          <w:color w:val="111827"/>
          <w:sz w:val="21"/>
          <w:szCs w:val="21"/>
        </w:rPr>
        <w:t xml:space="preserve">Dates display in dd-MMM-yyyy format (for example 15-Sep-2026); where a time matters it is shown in 24-hour form after the date.</w:t>
      </w:r>
    </w:p>
    <w:tbl>
      <w:tblPr>
        <w:tblW w:type="dxa" w:w="9360"/>
        <w:tblBorders>
          <w:top w:val="single" w:color="C9D8F5" w:sz="4"/>
          <w:left w:val="single" w:color="15803D"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15803D"/>
                <w:sz w:val="20"/>
                <w:szCs w:val="20"/>
              </w:rPr>
              <w:t xml:space="preserve">Tip: </w:t>
            </w:r>
            <w:r>
              <w:rPr>
                <w:rFonts w:ascii="Lato" w:cs="Lato" w:eastAsia="Lato" w:hAnsi="Lato"/>
                <w:color w:val="1F2937"/>
                <w:sz w:val="20"/>
                <w:szCs w:val="20"/>
              </w:rPr>
              <w:t xml:space="preserve">When you change static screens or the app has just been updated, a hard refresh (Ctrl+Shift+R) ensures you are on the latest version.</w:t>
            </w:r>
          </w:p>
        </w:tc>
      </w:tr>
    </w:tbl>
    <w:p>
      <w:r>
        <w:br w:type="page"/>
      </w:r>
    </w:p>
    <w:p>
      <w:pPr>
        <w:spacing w:after="60" w:before="200"/>
      </w:pPr>
      <w:r>
        <w:rPr>
          <w:rFonts w:ascii="Lato" w:cs="Lato" w:eastAsia="Lato" w:hAnsi="Lato"/>
          <w:b/>
          <w:bCs/>
          <w:color w:val="E8A33D"/>
          <w:sz w:val="24"/>
          <w:szCs w:val="24"/>
        </w:rPr>
        <w:t xml:space="preserve">PART A</w:t>
      </w:r>
    </w:p>
    <w:p>
      <w:pPr>
        <w:pBdr>
          <w:bottom w:val="single" w:color="0C1129" w:sz="14" w:space="6"/>
        </w:pBdr>
        <w:spacing w:after="40"/>
      </w:pPr>
      <w:r>
        <w:rPr>
          <w:rFonts w:ascii="Lato" w:cs="Lato" w:eastAsia="Lato" w:hAnsi="Lato"/>
          <w:b/>
          <w:bCs/>
          <w:color w:val="0C1129"/>
          <w:sz w:val="40"/>
          <w:szCs w:val="40"/>
        </w:rPr>
        <w:t xml:space="preserve">Administrator setup</w:t>
      </w:r>
    </w:p>
    <w:p>
      <w:pPr>
        <w:spacing w:after="120" w:before="120" w:line="276"/>
      </w:pPr>
      <w:r>
        <w:rPr>
          <w:rFonts w:ascii="Lato" w:cs="Lato" w:eastAsia="Lato" w:hAnsi="Lato"/>
          <w:b w:val="false"/>
          <w:bCs w:val="false"/>
          <w:i w:val="false"/>
          <w:iCs w:val="false"/>
          <w:color w:val="111827"/>
          <w:sz w:val="21"/>
          <w:szCs w:val="21"/>
        </w:rPr>
        <w:t xml:space="preserve">Part A is for administrators. It walks through the setup that makes the module usable for everyone else, roughly in the order it should be done. Much of it is one-time; some (users, subscriptions, SLAs) is revisited as the organization changes.</w:t>
      </w:r>
    </w:p>
    <w:p>
      <w:pPr>
        <w:pStyle w:val="Heading1"/>
        <w:pBdr>
          <w:bottom w:val="single" w:color="467CEB" w:sz="12" w:space="6"/>
        </w:pBdr>
        <w:spacing w:after="160" w:before="360"/>
      </w:pPr>
      <w:r>
        <w:rPr>
          <w:rFonts w:ascii="Lato" w:cs="Lato" w:eastAsia="Lato" w:hAnsi="Lato"/>
          <w:b/>
          <w:bCs/>
          <w:color w:val="0C1129"/>
          <w:sz w:val="30"/>
          <w:szCs w:val="30"/>
        </w:rPr>
        <w:t xml:space="preserve">3. Onboard the organization</w:t>
      </w:r>
    </w:p>
    <w:p>
      <w:pPr>
        <w:spacing w:after="120" w:before="0" w:line="276"/>
      </w:pPr>
      <w:r>
        <w:rPr>
          <w:rFonts w:ascii="Lato" w:cs="Lato" w:eastAsia="Lato" w:hAnsi="Lato"/>
          <w:b w:val="false"/>
          <w:bCs w:val="false"/>
          <w:i w:val="false"/>
          <w:iCs w:val="false"/>
          <w:color w:val="111827"/>
          <w:sz w:val="21"/>
          <w:szCs w:val="21"/>
        </w:rPr>
        <w:t xml:space="preserve">Everything in the module hangs off an organization. Creating one is the first step, done from Organization Setup.</w:t>
      </w:r>
    </w:p>
    <w:p>
      <w:pPr>
        <w:pStyle w:val="ListParagraph"/>
        <w:numPr>
          <w:ilvl w:val="0"/>
          <w:numId w:val="4"/>
        </w:numPr>
        <w:spacing w:after="90" w:line="268"/>
      </w:pPr>
      <w:r>
        <w:rPr>
          <w:rFonts w:ascii="Lato" w:cs="Lato" w:eastAsia="Lato" w:hAnsi="Lato"/>
          <w:color w:val="111827"/>
          <w:sz w:val="21"/>
          <w:szCs w:val="21"/>
        </w:rPr>
        <w:t xml:space="preserve">Open Organization Setup and create the organization, entering its code, name, industry, entity type and country.</w:t>
      </w:r>
    </w:p>
    <w:p>
      <w:pPr>
        <w:pStyle w:val="ListParagraph"/>
        <w:numPr>
          <w:ilvl w:val="0"/>
          <w:numId w:val="4"/>
        </w:numPr>
        <w:spacing w:after="90" w:line="268"/>
      </w:pPr>
      <w:r>
        <w:rPr>
          <w:rFonts w:ascii="Lato" w:cs="Lato" w:eastAsia="Lato" w:hAnsi="Lato"/>
          <w:color w:val="111827"/>
          <w:sz w:val="21"/>
          <w:szCs w:val="21"/>
        </w:rPr>
        <w:t xml:space="preserve">Save. The organization is created and its operating context is ready to be filled in.</w:t>
      </w:r>
    </w:p>
    <w:tbl>
      <w:tblPr>
        <w:tblW w:type="dxa" w:w="9360"/>
        <w:tblBorders>
          <w:top w:val="single" w:color="C9D8F5" w:sz="4"/>
          <w:left w:val="single" w:color="467CEB"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467CEB"/>
                <w:sz w:val="20"/>
                <w:szCs w:val="20"/>
              </w:rPr>
              <w:t xml:space="preserve">Note: </w:t>
            </w:r>
            <w:r>
              <w:rPr>
                <w:rFonts w:ascii="Lato" w:cs="Lato" w:eastAsia="Lato" w:hAnsi="Lato"/>
                <w:color w:val="1F2937"/>
                <w:sz w:val="20"/>
                <w:szCs w:val="20"/>
              </w:rPr>
              <w:t xml:space="preserve">When an organization is created, GRAC automatically enables all of its centers and screens (Gap Center, Risk Centre, Task Center and the rest). You do not need to enable them one by one — a newly created organization is ready to use immediately.</w:t>
            </w:r>
          </w:p>
        </w:tc>
      </w:tr>
    </w:tbl>
    <w:p>
      <w:pPr>
        <w:pStyle w:val="Heading3"/>
        <w:spacing w:after="80" w:before="200"/>
      </w:pPr>
      <w:r>
        <w:rPr>
          <w:rFonts w:ascii="Lato" w:cs="Lato" w:eastAsia="Lato" w:hAnsi="Lato"/>
          <w:b/>
          <w:bCs/>
          <w:color w:val="0C1129"/>
          <w:sz w:val="22"/>
          <w:szCs w:val="22"/>
        </w:rPr>
        <w:t xml:space="preserve">Organization metadata</w:t>
      </w:r>
    </w:p>
    <w:p>
      <w:pPr>
        <w:spacing w:after="120" w:before="0" w:line="276"/>
      </w:pPr>
      <w:r>
        <w:rPr>
          <w:rFonts w:ascii="Lato" w:cs="Lato" w:eastAsia="Lato" w:hAnsi="Lato"/>
          <w:b w:val="false"/>
          <w:bCs w:val="false"/>
          <w:i w:val="false"/>
          <w:iCs w:val="false"/>
          <w:color w:val="111827"/>
          <w:sz w:val="21"/>
          <w:szCs w:val="21"/>
        </w:rPr>
        <w:t xml:space="preserve">Metadata records configurable facts about the organization (for example whether it stores card data, its customer base, its footprint). These facts drive applicability discovery later, so it is worth capturing them early from Organization Setup → Organization Metadata.</w:t>
      </w:r>
    </w:p>
    <w:p>
      <w:pPr>
        <w:pStyle w:val="Heading1"/>
        <w:pBdr>
          <w:bottom w:val="single" w:color="467CEB" w:sz="12" w:space="6"/>
        </w:pBdr>
        <w:spacing w:after="160" w:before="360"/>
      </w:pPr>
      <w:r>
        <w:rPr>
          <w:rFonts w:ascii="Lato" w:cs="Lato" w:eastAsia="Lato" w:hAnsi="Lato"/>
          <w:b/>
          <w:bCs/>
          <w:color w:val="0C1129"/>
          <w:sz w:val="30"/>
          <w:szCs w:val="30"/>
        </w:rPr>
        <w:t xml:space="preserve">4. Build the organization structure</w:t>
      </w:r>
    </w:p>
    <w:p>
      <w:pPr>
        <w:spacing w:after="120" w:before="0" w:line="276"/>
      </w:pPr>
      <w:r>
        <w:rPr>
          <w:rFonts w:ascii="Lato" w:cs="Lato" w:eastAsia="Lato" w:hAnsi="Lato"/>
          <w:b w:val="false"/>
          <w:bCs w:val="false"/>
          <w:i w:val="false"/>
          <w:iCs w:val="false"/>
          <w:color w:val="111827"/>
          <w:sz w:val="21"/>
          <w:szCs w:val="21"/>
        </w:rPr>
        <w:t xml:space="preserve">Practices are owned by real parts of the organization, so the structure has to exist before ownership can be assigned. Set these up from Organization Setup (or maintain them later from Organization Administration).</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300"/>
        <w:gridCol w:w="7060"/>
      </w:tblGrid>
      <w:tr>
        <w:trPr>
          <w:tblHeader/>
        </w:trPr>
        <w:tc>
          <w:tcPr>
            <w:tcW w:type="dxa" w:w="23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Screen</w:t>
            </w:r>
          </w:p>
        </w:tc>
        <w:tc>
          <w:tcPr>
            <w:tcW w:type="dxa" w:w="70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What to set up</w:t>
            </w:r>
          </w:p>
        </w:tc>
      </w:tr>
      <w:tr>
        <w:tc>
          <w:tcPr>
            <w:tcW w:type="dxa" w:w="23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Locations</w:t>
            </w:r>
          </w:p>
        </w:tc>
        <w:tc>
          <w:tcPr>
            <w:tcW w:type="dxa" w:w="70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Sites and regions used for operating context, ownership and responsibility mapping.</w:t>
            </w:r>
          </w:p>
        </w:tc>
      </w:tr>
      <w:tr>
        <w:tc>
          <w:tcPr>
            <w:tcW w:type="dxa" w:w="23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Departments</w:t>
            </w:r>
          </w:p>
        </w:tc>
        <w:tc>
          <w:tcPr>
            <w:tcW w:type="dxa" w:w="70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Departments mapped to the organization, each with a head.</w:t>
            </w:r>
          </w:p>
        </w:tc>
      </w:tr>
      <w:tr>
        <w:tc>
          <w:tcPr>
            <w:tcW w:type="dxa" w:w="23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Business Functions</w:t>
            </w:r>
          </w:p>
        </w:tc>
        <w:tc>
          <w:tcPr>
            <w:tcW w:type="dxa" w:w="70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functional areas the organization operates.</w:t>
            </w:r>
          </w:p>
        </w:tc>
      </w:tr>
      <w:tr>
        <w:tc>
          <w:tcPr>
            <w:tcW w:type="dxa" w:w="23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Teams</w:t>
            </w:r>
          </w:p>
        </w:tc>
        <w:tc>
          <w:tcPr>
            <w:tcW w:type="dxa" w:w="70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Teams mapped to departments and managed by an employee. Teams may be in-house or vendor-managed; accountability stays with the team manager either way. Teams are what practice instances are assigned to.</w:t>
            </w:r>
          </w:p>
        </w:tc>
      </w:tr>
      <w:tr>
        <w:tc>
          <w:tcPr>
            <w:tcW w:type="dxa" w:w="23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Committees</w:t>
            </w:r>
          </w:p>
        </w:tc>
        <w:tc>
          <w:tcPr>
            <w:tcW w:type="dxa" w:w="70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Governance committees, each with a chairperson, secretary and review frequency.</w:t>
            </w:r>
          </w:p>
        </w:tc>
      </w:tr>
      <w:tr>
        <w:tc>
          <w:tcPr>
            <w:tcW w:type="dxa" w:w="23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Employees / Users</w:t>
            </w:r>
          </w:p>
        </w:tc>
        <w:tc>
          <w:tcPr>
            <w:tcW w:type="dxa" w:w="70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people available for ownership and assignment. A user may be an employee or third-party personnel; a third party must name the provider that supplies them.</w:t>
            </w:r>
          </w:p>
        </w:tc>
      </w:tr>
    </w:tbl>
    <w:p>
      <w:pPr>
        <w:pStyle w:val="Heading1"/>
        <w:pBdr>
          <w:bottom w:val="single" w:color="467CEB" w:sz="12" w:space="6"/>
        </w:pBdr>
        <w:spacing w:after="160" w:before="360"/>
      </w:pPr>
      <w:r>
        <w:rPr>
          <w:rFonts w:ascii="Lato" w:cs="Lato" w:eastAsia="Lato" w:hAnsi="Lato"/>
          <w:b/>
          <w:bCs/>
          <w:color w:val="0C1129"/>
          <w:sz w:val="30"/>
          <w:szCs w:val="30"/>
        </w:rPr>
        <w:t xml:space="preserve">5. Roles, permissions and users</w:t>
      </w:r>
    </w:p>
    <w:p>
      <w:pPr>
        <w:spacing w:after="120" w:before="0" w:line="276"/>
      </w:pPr>
      <w:r>
        <w:rPr>
          <w:rFonts w:ascii="Lato" w:cs="Lato" w:eastAsia="Lato" w:hAnsi="Lato"/>
          <w:b w:val="false"/>
          <w:bCs w:val="false"/>
          <w:i w:val="false"/>
          <w:iCs w:val="false"/>
          <w:color w:val="111827"/>
          <w:sz w:val="21"/>
          <w:szCs w:val="21"/>
        </w:rPr>
        <w:t xml:space="preserve">Access to every screen and action is governed by roles. This is set up under Organization Access Administration.</w:t>
      </w:r>
    </w:p>
    <w:p>
      <w:pPr>
        <w:pStyle w:val="ListParagraph"/>
        <w:numPr>
          <w:ilvl w:val="0"/>
          <w:numId w:val="5"/>
        </w:numPr>
        <w:spacing w:after="90" w:line="268"/>
      </w:pPr>
      <w:r>
        <w:rPr>
          <w:rFonts w:ascii="Lato" w:cs="Lato" w:eastAsia="Lato" w:hAnsi="Lato"/>
          <w:color w:val="111827"/>
          <w:sz w:val="21"/>
          <w:szCs w:val="21"/>
        </w:rPr>
        <w:t xml:space="preserve">Define the roles your organization needs in Role Master (for example Practice Owner, Compliance Reviewer, Risk Approver).</w:t>
      </w:r>
    </w:p>
    <w:p>
      <w:pPr>
        <w:pStyle w:val="ListParagraph"/>
        <w:numPr>
          <w:ilvl w:val="0"/>
          <w:numId w:val="5"/>
        </w:numPr>
        <w:spacing w:after="90" w:line="268"/>
      </w:pPr>
      <w:r>
        <w:rPr>
          <w:rFonts w:ascii="Lato" w:cs="Lato" w:eastAsia="Lato" w:hAnsi="Lato"/>
          <w:color w:val="111827"/>
          <w:sz w:val="21"/>
          <w:szCs w:val="21"/>
        </w:rPr>
        <w:t xml:space="preserve">In Role Menu Permission, grant each role the menus it may use and the actions it may take on them — View, Add, Edit, Delete and Approve are controlled separately.</w:t>
      </w:r>
    </w:p>
    <w:p>
      <w:pPr>
        <w:pStyle w:val="ListParagraph"/>
        <w:numPr>
          <w:ilvl w:val="0"/>
          <w:numId w:val="5"/>
        </w:numPr>
        <w:spacing w:after="90" w:line="268"/>
      </w:pPr>
      <w:r>
        <w:rPr>
          <w:rFonts w:ascii="Lato" w:cs="Lato" w:eastAsia="Lato" w:hAnsi="Lato"/>
          <w:color w:val="111827"/>
          <w:sz w:val="21"/>
          <w:szCs w:val="21"/>
        </w:rPr>
        <w:t xml:space="preserve">In User Role Assignment, assign one or more roles to each user.</w:t>
      </w:r>
    </w:p>
    <w:p>
      <w:pPr>
        <w:pStyle w:val="ListParagraph"/>
        <w:numPr>
          <w:ilvl w:val="0"/>
          <w:numId w:val="2"/>
        </w:numPr>
        <w:spacing w:after="80" w:line="268"/>
      </w:pPr>
      <w:r>
        <w:rPr>
          <w:rFonts w:ascii="Lato" w:cs="Lato" w:eastAsia="Lato" w:hAnsi="Lato"/>
          <w:b/>
          <w:bCs/>
          <w:color w:val="0C1129"/>
          <w:sz w:val="21"/>
          <w:szCs w:val="21"/>
        </w:rPr>
        <w:t xml:space="preserve">Owner / Role mapping. </w:t>
      </w:r>
      <w:r>
        <w:rPr>
          <w:rFonts w:ascii="Lato" w:cs="Lato" w:eastAsia="Lato" w:hAnsi="Lato"/>
          <w:color w:val="111827"/>
          <w:sz w:val="21"/>
          <w:szCs w:val="21"/>
        </w:rPr>
        <w:t xml:space="preserve">Map ownership roles to specific users so the module knows who owns what for the organization, with a backup owner where needed.</w:t>
      </w:r>
    </w:p>
    <w:p>
      <w:pPr>
        <w:pStyle w:val="ListParagraph"/>
        <w:numPr>
          <w:ilvl w:val="0"/>
          <w:numId w:val="2"/>
        </w:numPr>
        <w:spacing w:after="80" w:line="268"/>
      </w:pPr>
      <w:r>
        <w:rPr>
          <w:rFonts w:ascii="Lato" w:cs="Lato" w:eastAsia="Lato" w:hAnsi="Lato"/>
          <w:b/>
          <w:bCs/>
          <w:color w:val="0C1129"/>
          <w:sz w:val="21"/>
          <w:szCs w:val="21"/>
        </w:rPr>
        <w:t xml:space="preserve">Ownership Management. </w:t>
      </w:r>
      <w:r>
        <w:rPr>
          <w:rFonts w:ascii="Lato" w:cs="Lato" w:eastAsia="Lato" w:hAnsi="Lato"/>
          <w:color w:val="111827"/>
          <w:sz w:val="21"/>
          <w:szCs w:val="21"/>
        </w:rPr>
        <w:t xml:space="preserve">When someone leaves or changes role, use this to reassign everything they currently own to another active user. A user cannot be deactivated while they still own items.</w:t>
      </w:r>
    </w:p>
    <w:tbl>
      <w:tblPr>
        <w:tblW w:type="dxa" w:w="9360"/>
        <w:tblBorders>
          <w:top w:val="single" w:color="C9D8F5" w:sz="4"/>
          <w:left w:val="single" w:color="B91C1C"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B91C1C"/>
                <w:sz w:val="20"/>
                <w:szCs w:val="20"/>
              </w:rPr>
              <w:t xml:space="preserve">Important: </w:t>
            </w:r>
            <w:r>
              <w:rPr>
                <w:rFonts w:ascii="Lato" w:cs="Lato" w:eastAsia="Lato" w:hAnsi="Lato"/>
                <w:color w:val="1F2937"/>
                <w:sz w:val="20"/>
                <w:szCs w:val="20"/>
              </w:rPr>
              <w:t xml:space="preserve">Because permissions decide what each person can see and do, get roles right before inviting end users. A user who is missing a screen almost always needs a role or a role–menu permission, not a code change.</w:t>
            </w:r>
          </w:p>
        </w:tc>
      </w:tr>
    </w:tbl>
    <w:p>
      <w:pPr>
        <w:pStyle w:val="Heading1"/>
        <w:pBdr>
          <w:bottom w:val="single" w:color="467CEB" w:sz="12" w:space="6"/>
        </w:pBdr>
        <w:spacing w:after="160" w:before="360"/>
      </w:pPr>
      <w:r>
        <w:rPr>
          <w:rFonts w:ascii="Lato" w:cs="Lato" w:eastAsia="Lato" w:hAnsi="Lato"/>
          <w:b/>
          <w:bCs/>
          <w:color w:val="0C1129"/>
          <w:sz w:val="30"/>
          <w:szCs w:val="30"/>
        </w:rPr>
        <w:t xml:space="preserve">6. Dependency registers</w:t>
      </w:r>
    </w:p>
    <w:p>
      <w:pPr>
        <w:spacing w:after="120" w:before="0" w:line="276"/>
      </w:pPr>
      <w:r>
        <w:rPr>
          <w:rFonts w:ascii="Lato" w:cs="Lato" w:eastAsia="Lato" w:hAnsi="Lato"/>
          <w:b w:val="false"/>
          <w:bCs w:val="false"/>
          <w:i w:val="false"/>
          <w:iCs w:val="false"/>
          <w:color w:val="111827"/>
          <w:sz w:val="21"/>
          <w:szCs w:val="21"/>
        </w:rPr>
        <w:t xml:space="preserve">Practices depend on real things — the applications, tools, vendors, assets and processes that make them work. These live in the Registers area and are referenced when a practice instance is operationalized.</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100"/>
        <w:gridCol w:w="7260"/>
      </w:tblGrid>
      <w:tr>
        <w:trPr>
          <w:tblHeader/>
        </w:trPr>
        <w:tc>
          <w:tcPr>
            <w:tcW w:type="dxa" w:w="21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Register</w:t>
            </w:r>
          </w:p>
        </w:tc>
        <w:tc>
          <w:tcPr>
            <w:tcW w:type="dxa" w:w="72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Holds</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Applications</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Business applications supporting practices, with business and technical owners, hosting type and criticality.</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Tools</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Utility tools supporting execution, with owner, vendor, license type and criticality.</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Vendors</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Third parties providing services or products, with service category, relationship owner and criticality.</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Assets</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Physical or logical assets, with category, owner, location and criticality.</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Processes</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Business processes supporting execution, with process owner, version and next review date.</w:t>
            </w:r>
          </w:p>
        </w:tc>
      </w:tr>
    </w:tbl>
    <w:p>
      <w:pPr>
        <w:spacing w:after="120" w:before="40" w:line="276"/>
      </w:pPr>
      <w:r>
        <w:rPr>
          <w:rFonts w:ascii="Lato" w:cs="Lato" w:eastAsia="Lato" w:hAnsi="Lato"/>
          <w:b w:val="false"/>
          <w:bCs w:val="false"/>
          <w:i w:val="false"/>
          <w:iCs w:val="false"/>
          <w:color w:val="111827"/>
          <w:sz w:val="21"/>
          <w:szCs w:val="21"/>
        </w:rPr>
        <w:t xml:space="preserve">Each register entry can carry a criticality that flows through to how important its resolution is when a practice depends on it.</w:t>
      </w:r>
    </w:p>
    <w:p>
      <w:pPr>
        <w:pStyle w:val="Heading1"/>
        <w:pBdr>
          <w:bottom w:val="single" w:color="467CEB" w:sz="12" w:space="6"/>
        </w:pBdr>
        <w:spacing w:after="160" w:before="360"/>
      </w:pPr>
      <w:r>
        <w:rPr>
          <w:rFonts w:ascii="Lato" w:cs="Lato" w:eastAsia="Lato" w:hAnsi="Lato"/>
          <w:b/>
          <w:bCs/>
          <w:color w:val="0C1129"/>
          <w:sz w:val="30"/>
          <w:szCs w:val="30"/>
        </w:rPr>
        <w:t xml:space="preserve">7. Subscribe to frameworks</w:t>
      </w:r>
    </w:p>
    <w:p>
      <w:pPr>
        <w:spacing w:after="120" w:before="0" w:line="276"/>
      </w:pPr>
      <w:r>
        <w:rPr>
          <w:rFonts w:ascii="Lato" w:cs="Lato" w:eastAsia="Lato" w:hAnsi="Lato"/>
          <w:b w:val="false"/>
          <w:bCs w:val="false"/>
          <w:i w:val="false"/>
          <w:iCs w:val="false"/>
          <w:color w:val="111827"/>
          <w:sz w:val="21"/>
          <w:szCs w:val="21"/>
        </w:rPr>
        <w:t xml:space="preserve">This is the step that brings compliance content into the organization. From Repository Subscriptions (under Organization Setup, and summarized under Practice Management), subscribe the organization to the framework releases that apply to it.</w:t>
      </w:r>
    </w:p>
    <w:p>
      <w:pPr>
        <w:pStyle w:val="ListParagraph"/>
        <w:numPr>
          <w:ilvl w:val="0"/>
          <w:numId w:val="6"/>
        </w:numPr>
        <w:spacing w:after="90" w:line="268"/>
      </w:pPr>
      <w:r>
        <w:rPr>
          <w:rFonts w:ascii="Lato" w:cs="Lato" w:eastAsia="Lato" w:hAnsi="Lato"/>
          <w:color w:val="111827"/>
          <w:sz w:val="21"/>
          <w:szCs w:val="21"/>
        </w:rPr>
        <w:t xml:space="preserve">Open Repository Subscriptions.</w:t>
      </w:r>
    </w:p>
    <w:p>
      <w:pPr>
        <w:pStyle w:val="ListParagraph"/>
        <w:numPr>
          <w:ilvl w:val="0"/>
          <w:numId w:val="6"/>
        </w:numPr>
        <w:spacing w:after="90" w:line="268"/>
      </w:pPr>
      <w:r>
        <w:rPr>
          <w:rFonts w:ascii="Lato" w:cs="Lato" w:eastAsia="Lato" w:hAnsi="Lato"/>
          <w:color w:val="111827"/>
          <w:sz w:val="21"/>
          <w:szCs w:val="21"/>
        </w:rPr>
        <w:t xml:space="preserve">Subscribe to each applicable framework release (for example PCI-DSS, an RBI master direction, ISO 27001). Each subscription pulls that release’s source statements into scope for the organization.</w:t>
      </w:r>
    </w:p>
    <w:p>
      <w:pPr>
        <w:pStyle w:val="ListParagraph"/>
        <w:numPr>
          <w:ilvl w:val="0"/>
          <w:numId w:val="6"/>
        </w:numPr>
        <w:spacing w:after="90" w:line="268"/>
      </w:pPr>
      <w:r>
        <w:rPr>
          <w:rFonts w:ascii="Lato" w:cs="Lato" w:eastAsia="Lato" w:hAnsi="Lato"/>
          <w:color w:val="111827"/>
          <w:sz w:val="21"/>
          <w:szCs w:val="21"/>
        </w:rPr>
        <w:t xml:space="preserve">Custom (organization-defined) releases can also be maintained here when the organization has its own statements in addition to the repository frameworks.</w:t>
      </w:r>
    </w:p>
    <w:tbl>
      <w:tblPr>
        <w:tblW w:type="dxa" w:w="9360"/>
        <w:tblBorders>
          <w:top w:val="single" w:color="C9D8F5" w:sz="4"/>
          <w:left w:val="single" w:color="467CEB"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467CEB"/>
                <w:sz w:val="20"/>
                <w:szCs w:val="20"/>
              </w:rPr>
              <w:t xml:space="preserve">Note: </w:t>
            </w:r>
            <w:r>
              <w:rPr>
                <w:rFonts w:ascii="Lato" w:cs="Lato" w:eastAsia="Lato" w:hAnsi="Lato"/>
                <w:color w:val="1F2937"/>
                <w:sz w:val="20"/>
                <w:szCs w:val="20"/>
              </w:rPr>
              <w:t xml:space="preserve">Subscribing does not decide applicability — it only brings the requirements into scope. Deciding which of them actually apply is an end-user step, covered in Part B.</w:t>
            </w:r>
          </w:p>
        </w:tc>
      </w:tr>
    </w:tbl>
    <w:p>
      <w:pPr>
        <w:pStyle w:val="Heading1"/>
        <w:pBdr>
          <w:bottom w:val="single" w:color="467CEB" w:sz="12" w:space="6"/>
        </w:pBdr>
        <w:spacing w:after="160" w:before="360"/>
      </w:pPr>
      <w:r>
        <w:rPr>
          <w:rFonts w:ascii="Lato" w:cs="Lato" w:eastAsia="Lato" w:hAnsi="Lato"/>
          <w:b/>
          <w:bCs/>
          <w:color w:val="0C1129"/>
          <w:sz w:val="30"/>
          <w:szCs w:val="30"/>
        </w:rPr>
        <w:t xml:space="preserve">8. SLAs and approval authority</w:t>
      </w:r>
    </w:p>
    <w:p>
      <w:pPr>
        <w:pStyle w:val="Heading3"/>
        <w:spacing w:after="80" w:before="200"/>
      </w:pPr>
      <w:r>
        <w:rPr>
          <w:rFonts w:ascii="Lato" w:cs="Lato" w:eastAsia="Lato" w:hAnsi="Lato"/>
          <w:b/>
          <w:bCs/>
          <w:color w:val="0C1129"/>
          <w:sz w:val="22"/>
          <w:szCs w:val="22"/>
        </w:rPr>
        <w:t xml:space="preserve">SLA Configuration</w:t>
      </w:r>
    </w:p>
    <w:p>
      <w:pPr>
        <w:spacing w:after="120" w:before="0" w:line="276"/>
      </w:pPr>
      <w:r>
        <w:rPr>
          <w:rFonts w:ascii="Lato" w:cs="Lato" w:eastAsia="Lato" w:hAnsi="Lato"/>
          <w:b w:val="false"/>
          <w:bCs w:val="false"/>
          <w:i w:val="false"/>
          <w:iCs w:val="false"/>
          <w:color w:val="111827"/>
          <w:sz w:val="21"/>
          <w:szCs w:val="21"/>
        </w:rPr>
        <w:t xml:space="preserve">From SLA Configuration, adopt the SLA masters, set the warning and escalation day thresholds, choose which roles are notified, and bind each tuned SLA to the processes it governs — Gap, Task, Observation and Exception. These thresholds are what drive the SLA warnings, breaches and escalations users see later.</w:t>
      </w:r>
    </w:p>
    <w:p>
      <w:pPr>
        <w:pStyle w:val="Heading3"/>
        <w:spacing w:after="80" w:before="200"/>
      </w:pPr>
      <w:r>
        <w:rPr>
          <w:rFonts w:ascii="Lato" w:cs="Lato" w:eastAsia="Lato" w:hAnsi="Lato"/>
          <w:b/>
          <w:bCs/>
          <w:color w:val="0C1129"/>
          <w:sz w:val="22"/>
          <w:szCs w:val="22"/>
        </w:rPr>
        <w:t xml:space="preserve">Risk Acceptance Approval Authority</w:t>
      </w:r>
    </w:p>
    <w:p>
      <w:pPr>
        <w:spacing w:after="120" w:before="0" w:line="276"/>
      </w:pPr>
      <w:r>
        <w:rPr>
          <w:rFonts w:ascii="Lato" w:cs="Lato" w:eastAsia="Lato" w:hAnsi="Lato"/>
          <w:b w:val="false"/>
          <w:bCs w:val="false"/>
          <w:i w:val="false"/>
          <w:iCs w:val="false"/>
          <w:color w:val="111827"/>
          <w:sz w:val="21"/>
          <w:szCs w:val="21"/>
        </w:rPr>
        <w:t xml:space="preserve">From Risk Acceptance Approval Authority, set who may approve accepting a risk at each rating level — separately for the inherent score and the residual score after treatment. Levels left unset fall back to the organization’s general risk approver. This governs the Accept Risk step in the Risk Centre.</w:t>
      </w:r>
    </w:p>
    <w:p>
      <w:pPr>
        <w:pStyle w:val="Heading3"/>
        <w:spacing w:after="80" w:before="200"/>
      </w:pPr>
      <w:r>
        <w:rPr>
          <w:rFonts w:ascii="Lato" w:cs="Lato" w:eastAsia="Lato" w:hAnsi="Lato"/>
          <w:b/>
          <w:bCs/>
          <w:color w:val="0C1129"/>
          <w:sz w:val="22"/>
          <w:szCs w:val="22"/>
        </w:rPr>
        <w:t xml:space="preserve">Evidence Configuration</w:t>
      </w:r>
    </w:p>
    <w:p>
      <w:pPr>
        <w:spacing w:after="120" w:before="0" w:line="276"/>
      </w:pPr>
      <w:r>
        <w:rPr>
          <w:rFonts w:ascii="Lato" w:cs="Lato" w:eastAsia="Lato" w:hAnsi="Lato"/>
          <w:b w:val="false"/>
          <w:bCs w:val="false"/>
          <w:i w:val="false"/>
          <w:iCs w:val="false"/>
          <w:color w:val="111827"/>
          <w:sz w:val="21"/>
          <w:szCs w:val="21"/>
        </w:rPr>
        <w:t xml:space="preserve">From Evidence Configuration, record the organization’s evidence expectations — evidence types, retention periods, collection method and frequency, and the evidence owner. These expectations shape what counts as complete evidence when practices are operationalized and assured.</w:t>
      </w:r>
    </w:p>
    <w:p>
      <w:r>
        <w:br w:type="page"/>
      </w:r>
    </w:p>
    <w:p>
      <w:pPr>
        <w:spacing w:after="60" w:before="200"/>
      </w:pPr>
      <w:r>
        <w:rPr>
          <w:rFonts w:ascii="Lato" w:cs="Lato" w:eastAsia="Lato" w:hAnsi="Lato"/>
          <w:b/>
          <w:bCs/>
          <w:color w:val="E8A33D"/>
          <w:sz w:val="24"/>
          <w:szCs w:val="24"/>
        </w:rPr>
        <w:t xml:space="preserve">PART B</w:t>
      </w:r>
    </w:p>
    <w:p>
      <w:pPr>
        <w:pBdr>
          <w:bottom w:val="single" w:color="0C1129" w:sz="14" w:space="6"/>
        </w:pBdr>
        <w:spacing w:after="40"/>
      </w:pPr>
      <w:r>
        <w:rPr>
          <w:rFonts w:ascii="Lato" w:cs="Lato" w:eastAsia="Lato" w:hAnsi="Lato"/>
          <w:b/>
          <w:bCs/>
          <w:color w:val="0C1129"/>
          <w:sz w:val="40"/>
          <w:szCs w:val="40"/>
        </w:rPr>
        <w:t xml:space="preserve">The compliance lifecycle</w:t>
      </w:r>
    </w:p>
    <w:p>
      <w:pPr>
        <w:spacing w:after="120" w:before="120" w:line="276"/>
      </w:pPr>
      <w:r>
        <w:rPr>
          <w:rFonts w:ascii="Lato" w:cs="Lato" w:eastAsia="Lato" w:hAnsi="Lato"/>
          <w:b w:val="false"/>
          <w:bCs w:val="false"/>
          <w:i w:val="false"/>
          <w:iCs w:val="false"/>
          <w:color w:val="111827"/>
          <w:sz w:val="21"/>
          <w:szCs w:val="21"/>
        </w:rPr>
        <w:t xml:space="preserve">Part B is the day-to-day work of the module, in the order it naturally happens: from the requirements the organization is subscribed to, through practices and their operation, into the oversight centers that keep everything honest.</w:t>
      </w:r>
    </w:p>
    <w:p>
      <w:pPr>
        <w:pStyle w:val="Heading1"/>
        <w:pBdr>
          <w:bottom w:val="single" w:color="467CEB" w:sz="12" w:space="6"/>
        </w:pBdr>
        <w:spacing w:after="160" w:before="360"/>
      </w:pPr>
      <w:r>
        <w:rPr>
          <w:rFonts w:ascii="Lato" w:cs="Lato" w:eastAsia="Lato" w:hAnsi="Lato"/>
          <w:b/>
          <w:bCs/>
          <w:color w:val="0C1129"/>
          <w:sz w:val="30"/>
          <w:szCs w:val="30"/>
        </w:rPr>
        <w:t xml:space="preserve">9. Repository Subscriptions &amp; Source Statements</w:t>
      </w:r>
    </w:p>
    <w:p>
      <w:pPr>
        <w:spacing w:after="120" w:before="0" w:line="276"/>
      </w:pPr>
      <w:r>
        <w:rPr>
          <w:rFonts w:ascii="Lato" w:cs="Lato" w:eastAsia="Lato" w:hAnsi="Lato"/>
          <w:b w:val="false"/>
          <w:bCs w:val="false"/>
          <w:i w:val="false"/>
          <w:iCs w:val="false"/>
          <w:color w:val="111827"/>
          <w:sz w:val="21"/>
          <w:szCs w:val="21"/>
        </w:rPr>
        <w:t xml:space="preserve">Repository Subscriptions is where end users see, per framework release, how the organization is doing against every requirement. Each row is a subscribed framework release with a running summary: total statements, how many are applicable, how many implemented, how many not yet updated, and how many not applicable.</w:t>
      </w:r>
    </w:p>
    <w:p>
      <w:pPr>
        <w:pStyle w:val="ListParagraph"/>
        <w:numPr>
          <w:ilvl w:val="0"/>
          <w:numId w:val="7"/>
        </w:numPr>
        <w:spacing w:after="90" w:line="268"/>
      </w:pPr>
      <w:r>
        <w:rPr>
          <w:rFonts w:ascii="Lato" w:cs="Lato" w:eastAsia="Lato" w:hAnsi="Lato"/>
          <w:color w:val="111827"/>
          <w:sz w:val="21"/>
          <w:szCs w:val="21"/>
        </w:rPr>
        <w:t xml:space="preserve">Open Repository Subscriptions and select the organization.</w:t>
      </w:r>
    </w:p>
    <w:p>
      <w:pPr>
        <w:pStyle w:val="ListParagraph"/>
        <w:numPr>
          <w:ilvl w:val="0"/>
          <w:numId w:val="7"/>
        </w:numPr>
        <w:spacing w:after="90" w:line="268"/>
      </w:pPr>
      <w:r>
        <w:rPr>
          <w:rFonts w:ascii="Lato" w:cs="Lato" w:eastAsia="Lato" w:hAnsi="Lato"/>
          <w:color w:val="111827"/>
          <w:sz w:val="21"/>
          <w:szCs w:val="21"/>
        </w:rPr>
        <w:t xml:space="preserve">Read the summary row for each framework to see coverage at a glance.</w:t>
      </w:r>
    </w:p>
    <w:p>
      <w:pPr>
        <w:pStyle w:val="ListParagraph"/>
        <w:numPr>
          <w:ilvl w:val="0"/>
          <w:numId w:val="7"/>
        </w:numPr>
        <w:spacing w:after="90" w:line="268"/>
      </w:pPr>
      <w:r>
        <w:rPr>
          <w:rFonts w:ascii="Lato" w:cs="Lato" w:eastAsia="Lato" w:hAnsi="Lato"/>
          <w:color w:val="111827"/>
          <w:sz w:val="21"/>
          <w:szCs w:val="21"/>
        </w:rPr>
        <w:t xml:space="preserve">Drill into a framework to open its Source Statements — the full list of requirements, each with its reference, title, applicability status, implementation status and the number of practices mapped to it.</w:t>
      </w:r>
    </w:p>
    <w:p>
      <w:pPr>
        <w:spacing w:after="120" w:before="40" w:line="276"/>
      </w:pPr>
      <w:r>
        <w:rPr>
          <w:rFonts w:ascii="Lato" w:cs="Lato" w:eastAsia="Lato" w:hAnsi="Lato"/>
          <w:b w:val="false"/>
          <w:bCs w:val="false"/>
          <w:i w:val="false"/>
          <w:iCs w:val="false"/>
          <w:color w:val="111827"/>
          <w:sz w:val="21"/>
          <w:szCs w:val="21"/>
        </w:rPr>
        <w:t xml:space="preserve">From Source Statements you move naturally into deciding applicability and creating the practices that will satisfy each requirement.</w:t>
      </w:r>
    </w:p>
    <w:p>
      <w:pPr>
        <w:pStyle w:val="Heading1"/>
        <w:pBdr>
          <w:bottom w:val="single" w:color="467CEB" w:sz="12" w:space="6"/>
        </w:pBdr>
        <w:spacing w:after="160" w:before="360"/>
      </w:pPr>
      <w:r>
        <w:rPr>
          <w:rFonts w:ascii="Lato" w:cs="Lato" w:eastAsia="Lato" w:hAnsi="Lato"/>
          <w:b/>
          <w:bCs/>
          <w:color w:val="0C1129"/>
          <w:sz w:val="30"/>
          <w:szCs w:val="30"/>
        </w:rPr>
        <w:t xml:space="preserve">10. Practices &amp; applicability</w:t>
      </w:r>
    </w:p>
    <w:p>
      <w:pPr>
        <w:spacing w:after="120" w:before="0" w:line="276"/>
      </w:pPr>
      <w:r>
        <w:rPr>
          <w:rFonts w:ascii="Lato" w:cs="Lato" w:eastAsia="Lato" w:hAnsi="Lato"/>
          <w:b w:val="false"/>
          <w:bCs w:val="false"/>
          <w:i w:val="false"/>
          <w:iCs w:val="false"/>
          <w:color w:val="111827"/>
          <w:sz w:val="21"/>
          <w:szCs w:val="21"/>
        </w:rPr>
        <w:t xml:space="preserve">A practice is how the organization satisfies one or more source statements. The Practices screen lists organization-scoped practices with their applicability and implementation status, and lets you expand each to see its practice instances.</w:t>
      </w:r>
    </w:p>
    <w:p>
      <w:pPr>
        <w:pStyle w:val="Heading3"/>
        <w:spacing w:after="80" w:before="200"/>
      </w:pPr>
      <w:r>
        <w:rPr>
          <w:rFonts w:ascii="Lato" w:cs="Lato" w:eastAsia="Lato" w:hAnsi="Lato"/>
          <w:b/>
          <w:bCs/>
          <w:color w:val="0C1129"/>
          <w:sz w:val="22"/>
          <w:szCs w:val="22"/>
        </w:rPr>
        <w:t xml:space="preserve">Deciding applicability</w:t>
      </w:r>
    </w:p>
    <w:p>
      <w:pPr>
        <w:spacing w:after="120" w:before="0" w:line="276"/>
      </w:pPr>
      <w:r>
        <w:rPr>
          <w:rFonts w:ascii="Lato" w:cs="Lato" w:eastAsia="Lato" w:hAnsi="Lato"/>
          <w:b w:val="false"/>
          <w:bCs w:val="false"/>
          <w:i w:val="false"/>
          <w:iCs w:val="false"/>
          <w:color w:val="111827"/>
          <w:sz w:val="21"/>
          <w:szCs w:val="21"/>
        </w:rPr>
        <w:t xml:space="preserve">For each requirement or practice, record whether it applies to the organization, with a reason. Marking something not applicable, with a justification, is a legitimate and auditable outcome — it is how the organization documents scope.</w:t>
      </w:r>
    </w:p>
    <w:p>
      <w:pPr>
        <w:pStyle w:val="Heading3"/>
        <w:spacing w:after="80" w:before="200"/>
      </w:pPr>
      <w:r>
        <w:rPr>
          <w:rFonts w:ascii="Lato" w:cs="Lato" w:eastAsia="Lato" w:hAnsi="Lato"/>
          <w:b/>
          <w:bCs/>
          <w:color w:val="0C1129"/>
          <w:sz w:val="22"/>
          <w:szCs w:val="22"/>
        </w:rPr>
        <w:t xml:space="preserve">Adding a practice</w:t>
      </w:r>
    </w:p>
    <w:p>
      <w:pPr>
        <w:pStyle w:val="ListParagraph"/>
        <w:numPr>
          <w:ilvl w:val="0"/>
          <w:numId w:val="8"/>
        </w:numPr>
        <w:spacing w:after="90" w:line="268"/>
      </w:pPr>
      <w:r>
        <w:rPr>
          <w:rFonts w:ascii="Lato" w:cs="Lato" w:eastAsia="Lato" w:hAnsi="Lato"/>
          <w:color w:val="111827"/>
          <w:sz w:val="21"/>
          <w:szCs w:val="21"/>
        </w:rPr>
        <w:t xml:space="preserve">From Practices, add a practice and give it a code and name.</w:t>
      </w:r>
    </w:p>
    <w:p>
      <w:pPr>
        <w:pStyle w:val="ListParagraph"/>
        <w:numPr>
          <w:ilvl w:val="0"/>
          <w:numId w:val="8"/>
        </w:numPr>
        <w:spacing w:after="90" w:line="268"/>
      </w:pPr>
      <w:r>
        <w:rPr>
          <w:rFonts w:ascii="Lato" w:cs="Lato" w:eastAsia="Lato" w:hAnsi="Lato"/>
          <w:color w:val="111827"/>
          <w:sz w:val="21"/>
          <w:szCs w:val="21"/>
        </w:rPr>
        <w:t xml:space="preserve">In Source Statement Mapping, map the practice to the requirements it satisfies. Both subscribed repository statements and the organization’s own custom statements can be mapped here, so a practice can cover framework and internal requirements together.</w:t>
      </w:r>
    </w:p>
    <w:p>
      <w:pPr>
        <w:pStyle w:val="ListParagraph"/>
        <w:numPr>
          <w:ilvl w:val="0"/>
          <w:numId w:val="8"/>
        </w:numPr>
        <w:spacing w:after="90" w:line="268"/>
      </w:pPr>
      <w:r>
        <w:rPr>
          <w:rFonts w:ascii="Lato" w:cs="Lato" w:eastAsia="Lato" w:hAnsi="Lato"/>
          <w:color w:val="111827"/>
          <w:sz w:val="21"/>
          <w:szCs w:val="21"/>
        </w:rPr>
        <w:t xml:space="preserve">Save. The practice now appears against each statement it was mapped to, and the statement’s practice count reflects it.</w:t>
      </w:r>
    </w:p>
    <w:p>
      <w:pPr>
        <w:pStyle w:val="Heading3"/>
        <w:spacing w:after="80" w:before="200"/>
      </w:pPr>
      <w:r>
        <w:rPr>
          <w:rFonts w:ascii="Lato" w:cs="Lato" w:eastAsia="Lato" w:hAnsi="Lato"/>
          <w:b/>
          <w:bCs/>
          <w:color w:val="0C1129"/>
          <w:sz w:val="22"/>
          <w:szCs w:val="22"/>
        </w:rPr>
        <w:t xml:space="preserve">The Practice view</w:t>
      </w:r>
    </w:p>
    <w:p>
      <w:pPr>
        <w:spacing w:after="120" w:before="0" w:line="276"/>
      </w:pPr>
      <w:r>
        <w:rPr>
          <w:rFonts w:ascii="Lato" w:cs="Lato" w:eastAsia="Lato" w:hAnsi="Lato"/>
          <w:b w:val="false"/>
          <w:bCs w:val="false"/>
          <w:i w:val="false"/>
          <w:iCs w:val="false"/>
          <w:color w:val="111827"/>
          <w:sz w:val="21"/>
          <w:szCs w:val="21"/>
        </w:rPr>
        <w:t xml:space="preserve">Opening a practice shows its details, its obligations, and the Configure action. This is where one practice becomes one or more practice instances — one per team that will run it. Configuring a practice for a team creates that team’s instance, with its own owner, execution frequency, assurance frequency and criticality.</w:t>
      </w:r>
    </w:p>
    <w:tbl>
      <w:tblPr>
        <w:tblW w:type="dxa" w:w="9360"/>
        <w:tblBorders>
          <w:top w:val="single" w:color="C9D8F5" w:sz="4"/>
          <w:left w:val="single" w:color="15803D"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15803D"/>
                <w:sz w:val="20"/>
                <w:szCs w:val="20"/>
              </w:rPr>
              <w:t xml:space="preserve">Tip: </w:t>
            </w:r>
            <w:r>
              <w:rPr>
                <w:rFonts w:ascii="Lato" w:cs="Lato" w:eastAsia="Lato" w:hAnsi="Lato"/>
                <w:color w:val="1F2937"/>
                <w:sz w:val="20"/>
                <w:szCs w:val="20"/>
              </w:rPr>
              <w:t xml:space="preserve">Use one practice instance per team. Keeping instances team-scoped is what lets ownership, evidence and assurance stay accurate for each part of the organization.</w:t>
            </w:r>
          </w:p>
        </w:tc>
      </w:tr>
    </w:tbl>
    <w:p>
      <w:pPr>
        <w:pStyle w:val="Heading1"/>
        <w:pBdr>
          <w:bottom w:val="single" w:color="467CEB" w:sz="12" w:space="6"/>
        </w:pBdr>
        <w:spacing w:after="160" w:before="360"/>
      </w:pPr>
      <w:r>
        <w:rPr>
          <w:rFonts w:ascii="Lato" w:cs="Lato" w:eastAsia="Lato" w:hAnsi="Lato"/>
          <w:b/>
          <w:bCs/>
          <w:color w:val="0C1129"/>
          <w:sz w:val="30"/>
          <w:szCs w:val="30"/>
        </w:rPr>
        <w:t xml:space="preserve">11. Operationalize</w:t>
      </w:r>
    </w:p>
    <w:p>
      <w:pPr>
        <w:spacing w:after="120" w:before="0" w:line="276"/>
      </w:pPr>
      <w:r>
        <w:rPr>
          <w:rFonts w:ascii="Lato" w:cs="Lato" w:eastAsia="Lato" w:hAnsi="Lato"/>
          <w:b w:val="false"/>
          <w:bCs w:val="false"/>
          <w:i w:val="false"/>
          <w:iCs w:val="false"/>
          <w:color w:val="111827"/>
          <w:sz w:val="21"/>
          <w:szCs w:val="21"/>
        </w:rPr>
        <w:t xml:space="preserve">Operationalize is the working screen where a configured practice instance is actually made to work. It replaced the older six-tab dependency workbench: everything one instance still needs — its obligations and its dependencies — is on a single row, so an owner can see in one place what is done and what is outstanding.</w:t>
      </w:r>
    </w:p>
    <w:p>
      <w:pPr>
        <w:pStyle w:val="Heading3"/>
        <w:spacing w:after="80" w:before="200"/>
      </w:pPr>
      <w:r>
        <w:rPr>
          <w:rFonts w:ascii="Lato" w:cs="Lato" w:eastAsia="Lato" w:hAnsi="Lato"/>
          <w:b/>
          <w:bCs/>
          <w:color w:val="0C1129"/>
          <w:sz w:val="22"/>
          <w:szCs w:val="22"/>
        </w:rPr>
        <w:t xml:space="preserve">Reading the grid</w:t>
      </w:r>
    </w:p>
    <w:p>
      <w:pPr>
        <w:pStyle w:val="ListParagraph"/>
        <w:numPr>
          <w:ilvl w:val="0"/>
          <w:numId w:val="2"/>
        </w:numPr>
        <w:spacing w:after="80" w:line="268"/>
      </w:pPr>
      <w:r>
        <w:rPr>
          <w:rFonts w:ascii="Lato" w:cs="Lato" w:eastAsia="Lato" w:hAnsi="Lato"/>
          <w:b/>
          <w:bCs/>
          <w:color w:val="0C1129"/>
          <w:sz w:val="21"/>
          <w:szCs w:val="21"/>
        </w:rPr>
        <w:t xml:space="preserve">Obligations. </w:t>
      </w:r>
      <w:r>
        <w:rPr>
          <w:rFonts w:ascii="Lato" w:cs="Lato" w:eastAsia="Lato" w:hAnsi="Lato"/>
          <w:color w:val="111827"/>
          <w:sz w:val="21"/>
          <w:szCs w:val="21"/>
        </w:rPr>
        <w:t xml:space="preserve">How many of the instance’s obligations have been adopted out of the total.</w:t>
      </w:r>
    </w:p>
    <w:p>
      <w:pPr>
        <w:pStyle w:val="ListParagraph"/>
        <w:numPr>
          <w:ilvl w:val="0"/>
          <w:numId w:val="2"/>
        </w:numPr>
        <w:spacing w:after="80" w:line="268"/>
      </w:pPr>
      <w:r>
        <w:rPr>
          <w:rFonts w:ascii="Lato" w:cs="Lato" w:eastAsia="Lato" w:hAnsi="Lato"/>
          <w:b/>
          <w:bCs/>
          <w:color w:val="0C1129"/>
          <w:sz w:val="21"/>
          <w:szCs w:val="21"/>
        </w:rPr>
        <w:t xml:space="preserve">Dependencies. </w:t>
      </w:r>
      <w:r>
        <w:rPr>
          <w:rFonts w:ascii="Lato" w:cs="Lato" w:eastAsia="Lato" w:hAnsi="Lato"/>
          <w:color w:val="111827"/>
          <w:sz w:val="21"/>
          <w:szCs w:val="21"/>
        </w:rPr>
        <w:t xml:space="preserve">How many of its dependencies have been resolved.</w:t>
      </w:r>
    </w:p>
    <w:p>
      <w:pPr>
        <w:pStyle w:val="ListParagraph"/>
        <w:numPr>
          <w:ilvl w:val="0"/>
          <w:numId w:val="2"/>
        </w:numPr>
        <w:spacing w:after="80" w:line="268"/>
      </w:pPr>
      <w:r>
        <w:rPr>
          <w:rFonts w:ascii="Lato" w:cs="Lato" w:eastAsia="Lato" w:hAnsi="Lato"/>
          <w:b/>
          <w:bCs/>
          <w:color w:val="0C1129"/>
          <w:sz w:val="21"/>
          <w:szCs w:val="21"/>
        </w:rPr>
        <w:t xml:space="preserve">Status. </w:t>
      </w:r>
      <w:r>
        <w:rPr>
          <w:rFonts w:ascii="Lato" w:cs="Lato" w:eastAsia="Lato" w:hAnsi="Lato"/>
          <w:color w:val="111827"/>
          <w:sz w:val="21"/>
          <w:szCs w:val="21"/>
        </w:rPr>
        <w:t xml:space="preserve">The instance’s implementation status, derived automatically from the above.</w:t>
      </w:r>
    </w:p>
    <w:p>
      <w:pPr>
        <w:pStyle w:val="ListParagraph"/>
        <w:numPr>
          <w:ilvl w:val="0"/>
          <w:numId w:val="2"/>
        </w:numPr>
        <w:spacing w:after="80" w:line="268"/>
      </w:pPr>
      <w:r>
        <w:rPr>
          <w:rFonts w:ascii="Lato" w:cs="Lato" w:eastAsia="Lato" w:hAnsi="Lato"/>
          <w:b/>
          <w:bCs/>
          <w:color w:val="0C1129"/>
          <w:sz w:val="21"/>
          <w:szCs w:val="21"/>
        </w:rPr>
        <w:t xml:space="preserve">Actions (row menu). </w:t>
      </w:r>
      <w:r>
        <w:rPr>
          <w:rFonts w:ascii="Lato" w:cs="Lato" w:eastAsia="Lato" w:hAnsi="Lato"/>
          <w:color w:val="111827"/>
          <w:sz w:val="21"/>
          <w:szCs w:val="21"/>
        </w:rPr>
        <w:t xml:space="preserve">View, Operationalize, and Retire or Restore.</w:t>
      </w:r>
    </w:p>
    <w:p>
      <w:pPr>
        <w:pStyle w:val="Heading3"/>
        <w:spacing w:after="80" w:before="200"/>
      </w:pPr>
      <w:r>
        <w:rPr>
          <w:rFonts w:ascii="Lato" w:cs="Lato" w:eastAsia="Lato" w:hAnsi="Lato"/>
          <w:b/>
          <w:bCs/>
          <w:color w:val="0C1129"/>
          <w:sz w:val="22"/>
          <w:szCs w:val="22"/>
        </w:rPr>
        <w:t xml:space="preserve">Working an instance</w:t>
      </w:r>
    </w:p>
    <w:p>
      <w:pPr>
        <w:pStyle w:val="ListParagraph"/>
        <w:numPr>
          <w:ilvl w:val="0"/>
          <w:numId w:val="9"/>
        </w:numPr>
        <w:spacing w:after="90" w:line="268"/>
      </w:pPr>
      <w:r>
        <w:rPr>
          <w:rFonts w:ascii="Lato" w:cs="Lato" w:eastAsia="Lato" w:hAnsi="Lato"/>
          <w:color w:val="111827"/>
          <w:sz w:val="21"/>
          <w:szCs w:val="21"/>
        </w:rPr>
        <w:t xml:space="preserve">Select the organization. Use the Active only / Include Retired dropdown to control whether retired instances appear — Active only is the default and keeps retired instances out of the work queue.</w:t>
      </w:r>
    </w:p>
    <w:p>
      <w:pPr>
        <w:pStyle w:val="ListParagraph"/>
        <w:numPr>
          <w:ilvl w:val="0"/>
          <w:numId w:val="9"/>
        </w:numPr>
        <w:spacing w:after="90" w:line="268"/>
      </w:pPr>
      <w:r>
        <w:rPr>
          <w:rFonts w:ascii="Lato" w:cs="Lato" w:eastAsia="Lato" w:hAnsi="Lato"/>
          <w:color w:val="111827"/>
          <w:sz w:val="21"/>
          <w:szCs w:val="21"/>
        </w:rPr>
        <w:t xml:space="preserve">Open an instance with Operationalize from its row menu.</w:t>
      </w:r>
    </w:p>
    <w:p>
      <w:pPr>
        <w:pStyle w:val="ListParagraph"/>
        <w:numPr>
          <w:ilvl w:val="0"/>
          <w:numId w:val="9"/>
        </w:numPr>
        <w:spacing w:after="90" w:line="268"/>
      </w:pPr>
      <w:r>
        <w:rPr>
          <w:rFonts w:ascii="Lato" w:cs="Lato" w:eastAsia="Lato" w:hAnsi="Lato"/>
          <w:color w:val="111827"/>
          <w:sz w:val="21"/>
          <w:szCs w:val="21"/>
        </w:rPr>
        <w:t xml:space="preserve">Adopt each obligation and fill in its evidence — obligation and evidence are saved together. Record where the evidence lives and how to locate it.</w:t>
      </w:r>
    </w:p>
    <w:p>
      <w:pPr>
        <w:pStyle w:val="ListParagraph"/>
        <w:numPr>
          <w:ilvl w:val="0"/>
          <w:numId w:val="9"/>
        </w:numPr>
        <w:spacing w:after="90" w:line="268"/>
      </w:pPr>
      <w:r>
        <w:rPr>
          <w:rFonts w:ascii="Lato" w:cs="Lato" w:eastAsia="Lato" w:hAnsi="Lato"/>
          <w:color w:val="111827"/>
          <w:sz w:val="21"/>
          <w:szCs w:val="21"/>
        </w:rPr>
        <w:t xml:space="preserve">Resolve the instance’s dependencies against the register entries (applications, tools, vendors, assets, processes, and so on) that support it.</w:t>
      </w:r>
    </w:p>
    <w:tbl>
      <w:tblPr>
        <w:tblW w:type="dxa" w:w="9360"/>
        <w:tblBorders>
          <w:top w:val="single" w:color="C9D8F5" w:sz="4"/>
          <w:left w:val="single" w:color="B91C1C"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B91C1C"/>
                <w:sz w:val="20"/>
                <w:szCs w:val="20"/>
              </w:rPr>
              <w:t xml:space="preserve">Important: </w:t>
            </w:r>
            <w:r>
              <w:rPr>
                <w:rFonts w:ascii="Lato" w:cs="Lato" w:eastAsia="Lato" w:hAnsi="Lato"/>
                <w:color w:val="1F2937"/>
                <w:sz w:val="20"/>
                <w:szCs w:val="20"/>
              </w:rPr>
              <w:t xml:space="preserve">An obligation’s evidence is only shown as resolved (green) once its full evidence details are filled in — both where the evidence is and how to locate it. Saving an obligation with no evidence details leaves it unresolved, which is correct: no evidence means nothing to assure yet.</w:t>
            </w:r>
          </w:p>
        </w:tc>
      </w:tr>
    </w:tbl>
    <w:p>
      <w:pPr>
        <w:spacing w:after="120" w:before="60" w:line="276"/>
      </w:pPr>
      <w:r>
        <w:rPr>
          <w:rFonts w:ascii="Lato" w:cs="Lato" w:eastAsia="Lato" w:hAnsi="Lato"/>
          <w:b w:val="false"/>
          <w:bCs w:val="false"/>
          <w:i w:val="false"/>
          <w:iCs w:val="false"/>
          <w:color w:val="111827"/>
          <w:sz w:val="21"/>
          <w:szCs w:val="21"/>
        </w:rPr>
        <w:t xml:space="preserve">When every obligation of an instance is adopted and evidenced, the instance’s implementation status updates automatically. Saving in Operationalize re-checks all of the instance’s obligations and moves the status accordingly, so the Repository Subscriptions summary and the practice view stay in step.</w:t>
      </w:r>
    </w:p>
    <w:p>
      <w:pPr>
        <w:pStyle w:val="Heading3"/>
        <w:spacing w:after="80" w:before="200"/>
      </w:pPr>
      <w:r>
        <w:rPr>
          <w:rFonts w:ascii="Lato" w:cs="Lato" w:eastAsia="Lato" w:hAnsi="Lato"/>
          <w:b/>
          <w:bCs/>
          <w:color w:val="0C1129"/>
          <w:sz w:val="22"/>
          <w:szCs w:val="22"/>
        </w:rPr>
        <w:t xml:space="preserve">Retiring and restoring</w:t>
      </w:r>
    </w:p>
    <w:p>
      <w:pPr>
        <w:spacing w:after="120" w:before="0" w:line="276"/>
      </w:pPr>
      <w:r>
        <w:rPr>
          <w:rFonts w:ascii="Lato" w:cs="Lato" w:eastAsia="Lato" w:hAnsi="Lato"/>
          <w:b w:val="false"/>
          <w:bCs w:val="false"/>
          <w:i w:val="false"/>
          <w:iCs w:val="false"/>
          <w:color w:val="111827"/>
          <w:sz w:val="21"/>
          <w:szCs w:val="21"/>
        </w:rPr>
        <w:t xml:space="preserve">When an instance is no longer needed, Retire it from the row menu; it drops out of the active queue but is not deleted. Include Retired shows it again, and Restore brings it back into active work.</w:t>
      </w:r>
    </w:p>
    <w:p>
      <w:pPr>
        <w:pStyle w:val="Heading1"/>
        <w:pBdr>
          <w:bottom w:val="single" w:color="467CEB" w:sz="12" w:space="6"/>
        </w:pBdr>
        <w:spacing w:after="160" w:before="360"/>
      </w:pPr>
      <w:r>
        <w:rPr>
          <w:rFonts w:ascii="Lato" w:cs="Lato" w:eastAsia="Lato" w:hAnsi="Lato"/>
          <w:b/>
          <w:bCs/>
          <w:color w:val="0C1129"/>
          <w:sz w:val="30"/>
          <w:szCs w:val="30"/>
        </w:rPr>
        <w:t xml:space="preserve">12. Registers workbench</w:t>
      </w:r>
    </w:p>
    <w:p>
      <w:pPr>
        <w:spacing w:after="120" w:before="0" w:line="276"/>
      </w:pPr>
      <w:r>
        <w:rPr>
          <w:rFonts w:ascii="Lato" w:cs="Lato" w:eastAsia="Lato" w:hAnsi="Lato"/>
          <w:b w:val="false"/>
          <w:bCs w:val="false"/>
          <w:i w:val="false"/>
          <w:iCs w:val="false"/>
          <w:color w:val="111827"/>
          <w:sz w:val="21"/>
          <w:szCs w:val="21"/>
        </w:rPr>
        <w:t xml:space="preserve">Some dependencies are resolved not by the practice owner but by the custodian of the thing depended on. The Registers group provides one custodian queue per dependency type — Applications, Tools, Vendors, Assets, Teams, Committees, Processes and Locations. Each queue lists the configured practice-instance dependencies waiting on that custodian, with the owning department, primary owner, frequency, the resolved dependency and its resolution status. Custodians work their own queue to resolve what practices are waiting on.</w:t>
      </w:r>
    </w:p>
    <w:p>
      <w:pPr>
        <w:pStyle w:val="Heading1"/>
        <w:pBdr>
          <w:bottom w:val="single" w:color="467CEB" w:sz="12" w:space="6"/>
        </w:pBdr>
        <w:spacing w:after="160" w:before="360"/>
      </w:pPr>
      <w:r>
        <w:rPr>
          <w:rFonts w:ascii="Lato" w:cs="Lato" w:eastAsia="Lato" w:hAnsi="Lato"/>
          <w:b/>
          <w:bCs/>
          <w:color w:val="0C1129"/>
          <w:sz w:val="30"/>
          <w:szCs w:val="30"/>
        </w:rPr>
        <w:t xml:space="preserve">13. Gap Center</w:t>
      </w:r>
    </w:p>
    <w:p>
      <w:pPr>
        <w:spacing w:after="120" w:before="0" w:line="276"/>
      </w:pPr>
      <w:r>
        <w:rPr>
          <w:rFonts w:ascii="Lato" w:cs="Lato" w:eastAsia="Lato" w:hAnsi="Lato"/>
          <w:b w:val="false"/>
          <w:bCs w:val="false"/>
          <w:i w:val="false"/>
          <w:iCs w:val="false"/>
          <w:color w:val="111827"/>
          <w:sz w:val="21"/>
          <w:szCs w:val="21"/>
        </w:rPr>
        <w:t xml:space="preserve">The Gap Center is the unified work queue. It brings every kind of shortfall into one place so nothing is worked in isolation.</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100"/>
        <w:gridCol w:w="7260"/>
      </w:tblGrid>
      <w:tr>
        <w:trPr>
          <w:tblHeader/>
        </w:trPr>
        <w:tc>
          <w:tcPr>
            <w:tcW w:type="dxa" w:w="21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Gap type</w:t>
            </w:r>
          </w:p>
        </w:tc>
        <w:tc>
          <w:tcPr>
            <w:tcW w:type="dxa" w:w="72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Where it comes from</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Implementation</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 instances that are not yet fully implemented — obligations not adopted or not evidenced.</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Shortfalls surfaced by assurance activity (for example an unresolved evidence or dependency finding).</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Custom</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Gaps recorded manually when someone spots something that should be tracked.</w:t>
            </w:r>
          </w:p>
        </w:tc>
      </w:tr>
    </w:tbl>
    <w:p>
      <w:pPr>
        <w:spacing w:after="120" w:before="40" w:line="276"/>
      </w:pPr>
      <w:r>
        <w:rPr>
          <w:rFonts w:ascii="Lato" w:cs="Lato" w:eastAsia="Lato" w:hAnsi="Lato"/>
          <w:b w:val="false"/>
          <w:bCs w:val="false"/>
          <w:i w:val="false"/>
          <w:iCs w:val="false"/>
          <w:color w:val="111827"/>
          <w:sz w:val="21"/>
          <w:szCs w:val="21"/>
        </w:rPr>
        <w:t xml:space="preserve">Filter the list by the source module that raised the gap. Each row shows the instance, practice, organization, implementation status, owner, criticality and how many tasks already exist against it.</w:t>
      </w:r>
    </w:p>
    <w:p>
      <w:pPr>
        <w:pStyle w:val="Heading3"/>
        <w:spacing w:after="80" w:before="200"/>
      </w:pPr>
      <w:r>
        <w:rPr>
          <w:rFonts w:ascii="Lato" w:cs="Lato" w:eastAsia="Lato" w:hAnsi="Lato"/>
          <w:b/>
          <w:bCs/>
          <w:color w:val="0C1129"/>
          <w:sz w:val="22"/>
          <w:szCs w:val="22"/>
        </w:rPr>
        <w:t xml:space="preserve">Adding a custom gap</w:t>
      </w:r>
    </w:p>
    <w:p>
      <w:pPr>
        <w:pStyle w:val="ListParagraph"/>
        <w:numPr>
          <w:ilvl w:val="0"/>
          <w:numId w:val="10"/>
        </w:numPr>
        <w:spacing w:after="90" w:line="268"/>
      </w:pPr>
      <w:r>
        <w:rPr>
          <w:rFonts w:ascii="Lato" w:cs="Lato" w:eastAsia="Lato" w:hAnsi="Lato"/>
          <w:color w:val="111827"/>
          <w:sz w:val="21"/>
          <w:szCs w:val="21"/>
        </w:rPr>
        <w:t xml:space="preserve">Click Add Custom Gap.</w:t>
      </w:r>
    </w:p>
    <w:p>
      <w:pPr>
        <w:pStyle w:val="ListParagraph"/>
        <w:numPr>
          <w:ilvl w:val="0"/>
          <w:numId w:val="10"/>
        </w:numPr>
        <w:spacing w:after="90" w:line="268"/>
      </w:pPr>
      <w:r>
        <w:rPr>
          <w:rFonts w:ascii="Lato" w:cs="Lato" w:eastAsia="Lato" w:hAnsi="Lato"/>
          <w:color w:val="111827"/>
          <w:sz w:val="21"/>
          <w:szCs w:val="21"/>
        </w:rPr>
        <w:t xml:space="preserve">Describe the gap and give it context and a due date.</w:t>
      </w:r>
    </w:p>
    <w:p>
      <w:pPr>
        <w:pStyle w:val="ListParagraph"/>
        <w:numPr>
          <w:ilvl w:val="0"/>
          <w:numId w:val="10"/>
        </w:numPr>
        <w:spacing w:after="90" w:line="268"/>
      </w:pPr>
      <w:r>
        <w:rPr>
          <w:rFonts w:ascii="Lato" w:cs="Lato" w:eastAsia="Lato" w:hAnsi="Lato"/>
          <w:color w:val="111827"/>
          <w:sz w:val="21"/>
          <w:szCs w:val="21"/>
        </w:rPr>
        <w:t xml:space="preserve">Create the gap. It now appears in the queue alongside system-raised gaps.</w:t>
      </w:r>
    </w:p>
    <w:p>
      <w:pPr>
        <w:pStyle w:val="Heading3"/>
        <w:spacing w:after="80" w:before="200"/>
      </w:pPr>
      <w:r>
        <w:rPr>
          <w:rFonts w:ascii="Lato" w:cs="Lato" w:eastAsia="Lato" w:hAnsi="Lato"/>
          <w:b/>
          <w:bCs/>
          <w:color w:val="0C1129"/>
          <w:sz w:val="22"/>
          <w:szCs w:val="22"/>
        </w:rPr>
        <w:t xml:space="preserve">Acting on a gap</w:t>
      </w:r>
    </w:p>
    <w:p>
      <w:pPr>
        <w:spacing w:after="120" w:before="0" w:line="276"/>
      </w:pPr>
      <w:r>
        <w:rPr>
          <w:rFonts w:ascii="Lato" w:cs="Lato" w:eastAsia="Lato" w:hAnsi="Lato"/>
          <w:b w:val="false"/>
          <w:bCs w:val="false"/>
          <w:i w:val="false"/>
          <w:iCs w:val="false"/>
          <w:color w:val="111827"/>
          <w:sz w:val="21"/>
          <w:szCs w:val="21"/>
        </w:rPr>
        <w:t xml:space="preserve">From a gap you can drive the response. Analysing a gap lets you decide what to do about it, and from there you can:</w:t>
      </w:r>
    </w:p>
    <w:p>
      <w:pPr>
        <w:pStyle w:val="ListParagraph"/>
        <w:numPr>
          <w:ilvl w:val="0"/>
          <w:numId w:val="2"/>
        </w:numPr>
        <w:spacing w:after="80" w:line="268"/>
      </w:pPr>
      <w:r>
        <w:rPr>
          <w:rFonts w:ascii="Lato" w:cs="Lato" w:eastAsia="Lato" w:hAnsi="Lato"/>
          <w:b/>
          <w:bCs/>
          <w:color w:val="0C1129"/>
          <w:sz w:val="21"/>
          <w:szCs w:val="21"/>
        </w:rPr>
        <w:t xml:space="preserve">Create a task</w:t>
      </w:r>
      <w:r>
        <w:rPr>
          <w:rFonts w:ascii="Lato" w:cs="Lato" w:eastAsia="Lato" w:hAnsi="Lato"/>
          <w:color w:val="111827"/>
          <w:sz w:val="21"/>
          <w:szCs w:val="21"/>
        </w:rPr>
        <w:t xml:space="preserve"> to fix it — tasks flow to the Task Center.</w:t>
      </w:r>
    </w:p>
    <w:p>
      <w:pPr>
        <w:pStyle w:val="ListParagraph"/>
        <w:numPr>
          <w:ilvl w:val="0"/>
          <w:numId w:val="2"/>
        </w:numPr>
        <w:spacing w:after="80" w:line="268"/>
      </w:pPr>
      <w:r>
        <w:rPr>
          <w:rFonts w:ascii="Lato" w:cs="Lato" w:eastAsia="Lato" w:hAnsi="Lato"/>
          <w:b/>
          <w:bCs/>
          <w:color w:val="0C1129"/>
          <w:sz w:val="21"/>
          <w:szCs w:val="21"/>
        </w:rPr>
        <w:t xml:space="preserve">Raise an exception</w:t>
      </w:r>
      <w:r>
        <w:rPr>
          <w:rFonts w:ascii="Lato" w:cs="Lato" w:eastAsia="Lato" w:hAnsi="Lato"/>
          <w:color w:val="111827"/>
          <w:sz w:val="21"/>
          <w:szCs w:val="21"/>
        </w:rPr>
        <w:t xml:space="preserve"> when the gap will be accepted for a time-boxed period — this flows to the Exception Centre.</w:t>
      </w:r>
    </w:p>
    <w:p>
      <w:pPr>
        <w:pStyle w:val="ListParagraph"/>
        <w:numPr>
          <w:ilvl w:val="0"/>
          <w:numId w:val="2"/>
        </w:numPr>
        <w:spacing w:after="80" w:line="268"/>
      </w:pPr>
      <w:r>
        <w:rPr>
          <w:rFonts w:ascii="Lato" w:cs="Lato" w:eastAsia="Lato" w:hAnsi="Lato"/>
          <w:b/>
          <w:bCs/>
          <w:color w:val="0C1129"/>
          <w:sz w:val="21"/>
          <w:szCs w:val="21"/>
        </w:rPr>
        <w:t xml:space="preserve">Raise a risk</w:t>
      </w:r>
      <w:r>
        <w:rPr>
          <w:rFonts w:ascii="Lato" w:cs="Lato" w:eastAsia="Lato" w:hAnsi="Lato"/>
          <w:color w:val="111827"/>
          <w:sz w:val="21"/>
          <w:szCs w:val="21"/>
        </w:rPr>
        <w:t xml:space="preserve"> when the gap represents an exposure to be assessed — this flows to the Risk Centre as a risk candidate.</w:t>
      </w:r>
    </w:p>
    <w:tbl>
      <w:tblPr>
        <w:tblW w:type="dxa" w:w="9360"/>
        <w:tblBorders>
          <w:top w:val="single" w:color="C9D8F5" w:sz="4"/>
          <w:left w:val="single" w:color="467CEB" w:sz="24"/>
          <w:bottom w:val="single" w:color="C9D8F5" w:sz="4"/>
          <w:right w:val="single" w:color="C9D8F5" w:sz="4"/>
          <w:insideH w:val="none"/>
          <w:insideV w:val="none"/>
        </w:tblBorders>
      </w:tblPr>
      <w:tblGrid>
        <w:gridCol w:w="9360"/>
      </w:tblGrid>
      <w:tr>
        <w:tc>
          <w:tcPr>
            <w:tcW w:type="dxa" w:w="9360"/>
            <w:shd w:fill="F3F6FC" w:val="clear"/>
            <w:tcMar>
              <w:top w:type="dxa" w:w="100"/>
              <w:left w:type="dxa" w:w="160"/>
              <w:bottom w:type="dxa" w:w="100"/>
              <w:right w:type="dxa" w:w="160"/>
            </w:tcMar>
          </w:tcPr>
          <w:p>
            <w:pPr>
              <w:spacing w:after="0" w:line="264"/>
            </w:pPr>
            <w:r>
              <w:rPr>
                <w:rFonts w:ascii="Lato" w:cs="Lato" w:eastAsia="Lato" w:hAnsi="Lato"/>
                <w:b/>
                <w:bCs/>
                <w:color w:val="467CEB"/>
                <w:sz w:val="20"/>
                <w:szCs w:val="20"/>
              </w:rPr>
              <w:t xml:space="preserve">Note: </w:t>
            </w:r>
            <w:r>
              <w:rPr>
                <w:rFonts w:ascii="Lato" w:cs="Lato" w:eastAsia="Lato" w:hAnsi="Lato"/>
                <w:color w:val="1F2937"/>
                <w:sz w:val="20"/>
                <w:szCs w:val="20"/>
              </w:rPr>
              <w:t xml:space="preserve">Tasks and risk candidates are created automatically from Gap and Risk analysis. The Gap View gives a read-only, consolidated picture of a gap and the task, exception and risk raised against it.</w:t>
            </w:r>
          </w:p>
        </w:tc>
      </w:tr>
    </w:tbl>
    <w:p>
      <w:pPr>
        <w:pStyle w:val="Heading1"/>
        <w:pBdr>
          <w:bottom w:val="single" w:color="467CEB" w:sz="12" w:space="6"/>
        </w:pBdr>
        <w:spacing w:after="160" w:before="360"/>
      </w:pPr>
      <w:r>
        <w:rPr>
          <w:rFonts w:ascii="Lato" w:cs="Lato" w:eastAsia="Lato" w:hAnsi="Lato"/>
          <w:b/>
          <w:bCs/>
          <w:color w:val="0C1129"/>
          <w:sz w:val="30"/>
          <w:szCs w:val="30"/>
        </w:rPr>
        <w:t xml:space="preserve">14. Task Center</w:t>
      </w:r>
    </w:p>
    <w:p>
      <w:pPr>
        <w:spacing w:after="120" w:before="0" w:line="276"/>
      </w:pPr>
      <w:r>
        <w:rPr>
          <w:rFonts w:ascii="Lato" w:cs="Lato" w:eastAsia="Lato" w:hAnsi="Lato"/>
          <w:b w:val="false"/>
          <w:bCs w:val="false"/>
          <w:i w:val="false"/>
          <w:iCs w:val="false"/>
          <w:color w:val="111827"/>
          <w:sz w:val="21"/>
          <w:szCs w:val="21"/>
        </w:rPr>
        <w:t xml:space="preserve">The Task Center holds every task created to address gaps and lifecycle work — Implementation, Assurance and Custom tasks. Each row shows the task id, type, subject, assignee, status, priority and SLA due date.</w:t>
      </w:r>
    </w:p>
    <w:p>
      <w:pPr>
        <w:pStyle w:val="Heading3"/>
        <w:spacing w:after="80" w:before="200"/>
      </w:pPr>
      <w:r>
        <w:rPr>
          <w:rFonts w:ascii="Lato" w:cs="Lato" w:eastAsia="Lato" w:hAnsi="Lato"/>
          <w:b/>
          <w:bCs/>
          <w:color w:val="0C1129"/>
          <w:sz w:val="22"/>
          <w:szCs w:val="22"/>
        </w:rPr>
        <w:t xml:space="preserve">Working a task</w:t>
      </w:r>
    </w:p>
    <w:p>
      <w:pPr>
        <w:pStyle w:val="ListParagraph"/>
        <w:numPr>
          <w:ilvl w:val="0"/>
          <w:numId w:val="11"/>
        </w:numPr>
        <w:spacing w:after="90" w:line="268"/>
      </w:pPr>
      <w:r>
        <w:rPr>
          <w:rFonts w:ascii="Lato" w:cs="Lato" w:eastAsia="Lato" w:hAnsi="Lato"/>
          <w:color w:val="111827"/>
          <w:sz w:val="21"/>
          <w:szCs w:val="21"/>
        </w:rPr>
        <w:t xml:space="preserve">Open the Task Center and filter to your tasks or the type you are working.</w:t>
      </w:r>
    </w:p>
    <w:p>
      <w:pPr>
        <w:pStyle w:val="ListParagraph"/>
        <w:numPr>
          <w:ilvl w:val="0"/>
          <w:numId w:val="11"/>
        </w:numPr>
        <w:spacing w:after="90" w:line="268"/>
      </w:pPr>
      <w:r>
        <w:rPr>
          <w:rFonts w:ascii="Lato" w:cs="Lato" w:eastAsia="Lato" w:hAnsi="Lato"/>
          <w:color w:val="111827"/>
          <w:sz w:val="21"/>
          <w:szCs w:val="21"/>
        </w:rPr>
        <w:t xml:space="preserve">Open a task to see its full detail — identity, SLA, the record it relates to, evidence and activity history (the Task View).</w:t>
      </w:r>
    </w:p>
    <w:p>
      <w:pPr>
        <w:pStyle w:val="ListParagraph"/>
        <w:numPr>
          <w:ilvl w:val="0"/>
          <w:numId w:val="11"/>
        </w:numPr>
        <w:spacing w:after="90" w:line="268"/>
      </w:pPr>
      <w:r>
        <w:rPr>
          <w:rFonts w:ascii="Lato" w:cs="Lato" w:eastAsia="Lato" w:hAnsi="Lato"/>
          <w:color w:val="111827"/>
          <w:sz w:val="21"/>
          <w:szCs w:val="21"/>
        </w:rPr>
        <w:t xml:space="preserve">Move the task through its lifecycle as you work it; each transition is recorded.</w:t>
      </w:r>
    </w:p>
    <w:p>
      <w:pPr>
        <w:pStyle w:val="ListParagraph"/>
        <w:numPr>
          <w:ilvl w:val="0"/>
          <w:numId w:val="2"/>
        </w:numPr>
        <w:spacing w:after="80" w:line="268"/>
      </w:pPr>
      <w:r>
        <w:rPr>
          <w:rFonts w:ascii="Lato" w:cs="Lato" w:eastAsia="Lato" w:hAnsi="Lato"/>
          <w:b/>
          <w:bCs/>
          <w:color w:val="0C1129"/>
          <w:sz w:val="21"/>
          <w:szCs w:val="21"/>
        </w:rPr>
        <w:t xml:space="preserve">SLA. </w:t>
      </w:r>
      <w:r>
        <w:rPr>
          <w:rFonts w:ascii="Lato" w:cs="Lato" w:eastAsia="Lato" w:hAnsi="Lato"/>
          <w:color w:val="111827"/>
          <w:sz w:val="21"/>
          <w:szCs w:val="21"/>
        </w:rPr>
        <w:t xml:space="preserve">Each task carries an SLA due date derived from the SLA configuration. As the due date approaches or passes, the task raises warnings, breaches and escalations to the roles configured for it.</w:t>
      </w:r>
    </w:p>
    <w:p>
      <w:pPr>
        <w:pStyle w:val="ListParagraph"/>
        <w:numPr>
          <w:ilvl w:val="0"/>
          <w:numId w:val="2"/>
        </w:numPr>
        <w:spacing w:after="80" w:line="268"/>
      </w:pPr>
      <w:r>
        <w:rPr>
          <w:rFonts w:ascii="Lato" w:cs="Lato" w:eastAsia="Lato" w:hAnsi="Lato"/>
          <w:b/>
          <w:bCs/>
          <w:color w:val="0C1129"/>
          <w:sz w:val="21"/>
          <w:szCs w:val="21"/>
        </w:rPr>
        <w:t xml:space="preserve">My Notifications. </w:t>
      </w:r>
      <w:r>
        <w:rPr>
          <w:rFonts w:ascii="Lato" w:cs="Lato" w:eastAsia="Lato" w:hAnsi="Lato"/>
          <w:color w:val="111827"/>
          <w:sz w:val="21"/>
          <w:szCs w:val="21"/>
        </w:rPr>
        <w:t xml:space="preserve">SLA warnings, breaches and escalations addressed to you appear under My Notifications, so you can act before a breach where possible.</w:t>
      </w:r>
    </w:p>
    <w:p>
      <w:pPr>
        <w:pStyle w:val="Heading1"/>
        <w:pBdr>
          <w:bottom w:val="single" w:color="467CEB" w:sz="12" w:space="6"/>
        </w:pBdr>
        <w:spacing w:after="160" w:before="360"/>
      </w:pPr>
      <w:r>
        <w:rPr>
          <w:rFonts w:ascii="Lato" w:cs="Lato" w:eastAsia="Lato" w:hAnsi="Lato"/>
          <w:b/>
          <w:bCs/>
          <w:color w:val="0C1129"/>
          <w:sz w:val="30"/>
          <w:szCs w:val="30"/>
        </w:rPr>
        <w:t xml:space="preserve">15. Exception Centre</w:t>
      </w:r>
    </w:p>
    <w:p>
      <w:pPr>
        <w:spacing w:after="120" w:before="0" w:line="276"/>
      </w:pPr>
      <w:r>
        <w:rPr>
          <w:rFonts w:ascii="Lato" w:cs="Lato" w:eastAsia="Lato" w:hAnsi="Lato"/>
          <w:b w:val="false"/>
          <w:bCs w:val="false"/>
          <w:i w:val="false"/>
          <w:iCs w:val="false"/>
          <w:color w:val="111827"/>
          <w:sz w:val="21"/>
          <w:szCs w:val="21"/>
        </w:rPr>
        <w:t xml:space="preserve">An exception is a documented, time-boxed decision to accept a gap rather than fix it immediately. Exceptions are requested from gap analysis and approved or rejected in the Exception Centre.</w:t>
      </w:r>
    </w:p>
    <w:p>
      <w:pPr>
        <w:pStyle w:val="ListParagraph"/>
        <w:numPr>
          <w:ilvl w:val="0"/>
          <w:numId w:val="12"/>
        </w:numPr>
        <w:spacing w:after="90" w:line="268"/>
      </w:pPr>
      <w:r>
        <w:rPr>
          <w:rFonts w:ascii="Lato" w:cs="Lato" w:eastAsia="Lato" w:hAnsi="Lato"/>
          <w:color w:val="111827"/>
          <w:sz w:val="21"/>
          <w:szCs w:val="21"/>
        </w:rPr>
        <w:t xml:space="preserve">From a gap, raise an exception and complete the Exception Analysis — the justification, the risk of accepting it, and any compensating tasks.</w:t>
      </w:r>
    </w:p>
    <w:p>
      <w:pPr>
        <w:pStyle w:val="ListParagraph"/>
        <w:numPr>
          <w:ilvl w:val="0"/>
          <w:numId w:val="12"/>
        </w:numPr>
        <w:spacing w:after="90" w:line="268"/>
      </w:pPr>
      <w:r>
        <w:rPr>
          <w:rFonts w:ascii="Lato" w:cs="Lato" w:eastAsia="Lato" w:hAnsi="Lato"/>
          <w:color w:val="111827"/>
          <w:sz w:val="21"/>
          <w:szCs w:val="21"/>
        </w:rPr>
        <w:t xml:space="preserve">Submit the exception for approval.</w:t>
      </w:r>
    </w:p>
    <w:p>
      <w:pPr>
        <w:pStyle w:val="ListParagraph"/>
        <w:numPr>
          <w:ilvl w:val="0"/>
          <w:numId w:val="12"/>
        </w:numPr>
        <w:spacing w:after="90" w:line="268"/>
      </w:pPr>
      <w:r>
        <w:rPr>
          <w:rFonts w:ascii="Lato" w:cs="Lato" w:eastAsia="Lato" w:hAnsi="Lato"/>
          <w:color w:val="111827"/>
          <w:sz w:val="21"/>
          <w:szCs w:val="21"/>
        </w:rPr>
        <w:t xml:space="preserve">An authorized approver reviews it in the Exception Centre and approves or rejects it, setting the period it is effective until.</w:t>
      </w:r>
    </w:p>
    <w:p>
      <w:pPr>
        <w:spacing w:after="120" w:before="40" w:line="276"/>
      </w:pPr>
      <w:r>
        <w:rPr>
          <w:rFonts w:ascii="Lato" w:cs="Lato" w:eastAsia="Lato" w:hAnsi="Lato"/>
          <w:b w:val="false"/>
          <w:bCs w:val="false"/>
          <w:i w:val="false"/>
          <w:iCs w:val="false"/>
          <w:color w:val="111827"/>
          <w:sz w:val="21"/>
          <w:szCs w:val="21"/>
        </w:rPr>
        <w:t xml:space="preserve">The Exception View gives a read-only picture of an exception request — its reason, validity period, approval and evidence. Approved exceptions are visible against their gap so the acceptance is never invisible.</w:t>
      </w:r>
    </w:p>
    <w:p>
      <w:pPr>
        <w:pStyle w:val="Heading1"/>
        <w:pBdr>
          <w:bottom w:val="single" w:color="467CEB" w:sz="12" w:space="6"/>
        </w:pBdr>
        <w:spacing w:after="160" w:before="360"/>
      </w:pPr>
      <w:r>
        <w:rPr>
          <w:rFonts w:ascii="Lato" w:cs="Lato" w:eastAsia="Lato" w:hAnsi="Lato"/>
          <w:b/>
          <w:bCs/>
          <w:color w:val="0C1129"/>
          <w:sz w:val="30"/>
          <w:szCs w:val="30"/>
        </w:rPr>
        <w:t xml:space="preserve">16. Risk Centre</w:t>
      </w:r>
    </w:p>
    <w:p>
      <w:pPr>
        <w:spacing w:after="120" w:before="0" w:line="276"/>
      </w:pPr>
      <w:r>
        <w:rPr>
          <w:rFonts w:ascii="Lato" w:cs="Lato" w:eastAsia="Lato" w:hAnsi="Lato"/>
          <w:b w:val="false"/>
          <w:bCs w:val="false"/>
          <w:i w:val="false"/>
          <w:iCs w:val="false"/>
          <w:color w:val="111827"/>
          <w:sz w:val="21"/>
          <w:szCs w:val="21"/>
        </w:rPr>
        <w:t xml:space="preserve">The Risk Centre is where exposures are assessed before they enter the risk register, and where risks are managed through their life. Risk candidates are raised by Gap, Exception, Assurance and other GRAC sources; authorized users can also create a custom risk directly. The screen is organized into tabs.</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100"/>
        <w:gridCol w:w="7260"/>
      </w:tblGrid>
      <w:tr>
        <w:trPr>
          <w:tblHeader/>
        </w:trPr>
        <w:tc>
          <w:tcPr>
            <w:tcW w:type="dxa" w:w="21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Tab</w:t>
            </w:r>
          </w:p>
        </w:tc>
        <w:tc>
          <w:tcPr>
            <w:tcW w:type="dxa" w:w="72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Purpose</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 Candidates</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Incoming candidates awaiting assessment — with source, rating and status. Assess a candidate before it becomes a registered risk.</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 Register</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Risks that have been registered and are being managed.</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Accept Risk</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Risks proposed for acceptance, routed to the approver set by the Risk Acceptance Approval Authority for that rating.</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Review Risk</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Registered risks due for periodic review.</w:t>
            </w:r>
          </w:p>
        </w:tc>
      </w:tr>
      <w:tr>
        <w:tc>
          <w:tcPr>
            <w:tcW w:type="dxa" w:w="21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 Calendar</w:t>
            </w:r>
          </w:p>
        </w:tc>
        <w:tc>
          <w:tcPr>
            <w:tcW w:type="dxa" w:w="72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Review and treatment dates laid out on a calendar.</w:t>
            </w:r>
          </w:p>
        </w:tc>
      </w:tr>
      <w:tr>
        <w:tc>
          <w:tcPr>
            <w:tcW w:type="dxa" w:w="21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Dashboard</w:t>
            </w:r>
          </w:p>
        </w:tc>
        <w:tc>
          <w:tcPr>
            <w:tcW w:type="dxa" w:w="72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 posture at a glance.</w:t>
            </w:r>
          </w:p>
        </w:tc>
      </w:tr>
    </w:tbl>
    <w:p>
      <w:pPr>
        <w:pStyle w:val="Heading3"/>
        <w:spacing w:after="80" w:before="200"/>
      </w:pPr>
      <w:r>
        <w:rPr>
          <w:rFonts w:ascii="Lato" w:cs="Lato" w:eastAsia="Lato" w:hAnsi="Lato"/>
          <w:b/>
          <w:bCs/>
          <w:color w:val="0C1129"/>
          <w:sz w:val="22"/>
          <w:szCs w:val="22"/>
        </w:rPr>
        <w:t xml:space="preserve">From candidate to registered risk</w:t>
      </w:r>
    </w:p>
    <w:p>
      <w:pPr>
        <w:pStyle w:val="ListParagraph"/>
        <w:numPr>
          <w:ilvl w:val="0"/>
          <w:numId w:val="13"/>
        </w:numPr>
        <w:spacing w:after="90" w:line="268"/>
      </w:pPr>
      <w:r>
        <w:rPr>
          <w:rFonts w:ascii="Lato" w:cs="Lato" w:eastAsia="Lato" w:hAnsi="Lato"/>
          <w:color w:val="111827"/>
          <w:sz w:val="21"/>
          <w:szCs w:val="21"/>
        </w:rPr>
        <w:t xml:space="preserve">Open Risk Candidates and select the organization; filter by status or source as needed.</w:t>
      </w:r>
    </w:p>
    <w:p>
      <w:pPr>
        <w:pStyle w:val="ListParagraph"/>
        <w:numPr>
          <w:ilvl w:val="0"/>
          <w:numId w:val="13"/>
        </w:numPr>
        <w:spacing w:after="90" w:line="268"/>
      </w:pPr>
      <w:r>
        <w:rPr>
          <w:rFonts w:ascii="Lato" w:cs="Lato" w:eastAsia="Lato" w:hAnsi="Lato"/>
          <w:color w:val="111827"/>
          <w:sz w:val="21"/>
          <w:szCs w:val="21"/>
        </w:rPr>
        <w:t xml:space="preserve">Assess a candidate — record its analysis and rating (inherent, then residual after treatment).</w:t>
      </w:r>
    </w:p>
    <w:p>
      <w:pPr>
        <w:pStyle w:val="ListParagraph"/>
        <w:numPr>
          <w:ilvl w:val="0"/>
          <w:numId w:val="13"/>
        </w:numPr>
        <w:spacing w:after="90" w:line="268"/>
      </w:pPr>
      <w:r>
        <w:rPr>
          <w:rFonts w:ascii="Lato" w:cs="Lato" w:eastAsia="Lato" w:hAnsi="Lato"/>
          <w:color w:val="111827"/>
          <w:sz w:val="21"/>
          <w:szCs w:val="21"/>
        </w:rPr>
        <w:t xml:space="preserve">Register the risk, decide its treatment, and where it is to be accepted, route it through Accept Risk to the correct approval authority.</w:t>
      </w:r>
    </w:p>
    <w:p>
      <w:pPr>
        <w:pStyle w:val="ListParagraph"/>
        <w:numPr>
          <w:ilvl w:val="0"/>
          <w:numId w:val="13"/>
        </w:numPr>
        <w:spacing w:after="90" w:line="268"/>
      </w:pPr>
      <w:r>
        <w:rPr>
          <w:rFonts w:ascii="Lato" w:cs="Lato" w:eastAsia="Lato" w:hAnsi="Lato"/>
          <w:color w:val="111827"/>
          <w:sz w:val="21"/>
          <w:szCs w:val="21"/>
        </w:rPr>
        <w:t xml:space="preserve">Set the next review date so the risk surfaces in Review Risk and the Risk Calendar when it is due.</w:t>
      </w:r>
    </w:p>
    <w:p>
      <w:pPr>
        <w:pStyle w:val="Heading1"/>
        <w:pBdr>
          <w:bottom w:val="single" w:color="467CEB" w:sz="12" w:space="6"/>
        </w:pBdr>
        <w:spacing w:after="160" w:before="360"/>
      </w:pPr>
      <w:r>
        <w:rPr>
          <w:rFonts w:ascii="Lato" w:cs="Lato" w:eastAsia="Lato" w:hAnsi="Lato"/>
          <w:b/>
          <w:bCs/>
          <w:color w:val="0C1129"/>
          <w:sz w:val="30"/>
          <w:szCs w:val="30"/>
        </w:rPr>
        <w:t xml:space="preserve">17. Assurance Management</w:t>
      </w:r>
    </w:p>
    <w:p>
      <w:pPr>
        <w:spacing w:after="120" w:before="0" w:line="276"/>
      </w:pPr>
      <w:r>
        <w:rPr>
          <w:rFonts w:ascii="Lato" w:cs="Lato" w:eastAsia="Lato" w:hAnsi="Lato"/>
          <w:b w:val="false"/>
          <w:bCs w:val="false"/>
          <w:i w:val="false"/>
          <w:iCs w:val="false"/>
          <w:color w:val="111827"/>
          <w:sz w:val="21"/>
          <w:szCs w:val="21"/>
        </w:rPr>
        <w:t xml:space="preserve">Assurance is the independent check that resolved practice instances are actually operating effectively. The Assurance Management group runs this end to end.</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500"/>
        <w:gridCol w:w="6860"/>
      </w:tblGrid>
      <w:tr>
        <w:trPr>
          <w:tblHeader/>
        </w:trPr>
        <w:tc>
          <w:tcPr>
            <w:tcW w:type="dxa" w:w="25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Screen</w:t>
            </w:r>
          </w:p>
        </w:tc>
        <w:tc>
          <w:tcPr>
            <w:tcW w:type="dxa" w:w="68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What it does</w:t>
            </w:r>
          </w:p>
        </w:tc>
      </w:tr>
      <w:tr>
        <w:tc>
          <w:tcPr>
            <w:tcW w:type="dxa" w:w="25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 Dashboard</w:t>
            </w:r>
          </w:p>
        </w:tc>
        <w:tc>
          <w:tcPr>
            <w:tcW w:type="dxa" w:w="68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Coverage, overdue activities, findings and health signals for resolved instances.</w:t>
            </w:r>
          </w:p>
        </w:tc>
      </w:tr>
      <w:tr>
        <w:tc>
          <w:tcPr>
            <w:tcW w:type="dxa" w:w="25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Activity Generation</w:t>
            </w:r>
          </w:p>
        </w:tc>
        <w:tc>
          <w:tcPr>
            <w:tcW w:type="dxa" w:w="68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Generates assurance activities for eligible instances based on their assurance frequency.</w:t>
            </w:r>
          </w:p>
        </w:tc>
      </w:tr>
      <w:tr>
        <w:tc>
          <w:tcPr>
            <w:tcW w:type="dxa" w:w="25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Activity List</w:t>
            </w:r>
          </w:p>
        </w:tc>
        <w:tc>
          <w:tcPr>
            <w:tcW w:type="dxa" w:w="68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generated activities, each with its period, type, owner and due date.</w:t>
            </w:r>
          </w:p>
        </w:tc>
      </w:tr>
      <w:tr>
        <w:tc>
          <w:tcPr>
            <w:tcW w:type="dxa" w:w="25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 Execution</w:t>
            </w:r>
          </w:p>
        </w:tc>
        <w:tc>
          <w:tcPr>
            <w:tcW w:type="dxa" w:w="68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Execute the manual or automated assurance checks for an activity.</w:t>
            </w:r>
          </w:p>
        </w:tc>
      </w:tr>
      <w:tr>
        <w:tc>
          <w:tcPr>
            <w:tcW w:type="dxa" w:w="25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Evidence Assurance</w:t>
            </w:r>
          </w:p>
        </w:tc>
        <w:tc>
          <w:tcPr>
            <w:tcW w:type="dxa" w:w="68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Verify expected evidence exists, is accessible, matches the expected type and relates to the assurance.</w:t>
            </w:r>
          </w:p>
        </w:tc>
      </w:tr>
      <w:tr>
        <w:tc>
          <w:tcPr>
            <w:tcW w:type="dxa" w:w="25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Dependency Assurance</w:t>
            </w:r>
          </w:p>
        </w:tc>
        <w:tc>
          <w:tcPr>
            <w:tcW w:type="dxa" w:w="68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Verify resolved dependencies remain valid and support the practice during the period.</w:t>
            </w:r>
          </w:p>
        </w:tc>
      </w:tr>
      <w:tr>
        <w:tc>
          <w:tcPr>
            <w:tcW w:type="dxa" w:w="25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 Result</w:t>
            </w:r>
          </w:p>
        </w:tc>
        <w:tc>
          <w:tcPr>
            <w:tcW w:type="dxa" w:w="68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final outcome and operating-effectiveness conclusion for an activity.</w:t>
            </w:r>
          </w:p>
        </w:tc>
      </w:tr>
      <w:tr>
        <w:tc>
          <w:tcPr>
            <w:tcW w:type="dxa" w:w="25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Findings</w:t>
            </w:r>
          </w:p>
        </w:tc>
        <w:tc>
          <w:tcPr>
            <w:tcW w:type="dxa" w:w="68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Issues raised from assurance — unresolved evidence or dependency gaps — with severity, owner and due date.</w:t>
            </w:r>
          </w:p>
        </w:tc>
      </w:tr>
      <w:tr>
        <w:tc>
          <w:tcPr>
            <w:tcW w:type="dxa" w:w="25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Signals / Trends / Practice Health</w:t>
            </w:r>
          </w:p>
        </w:tc>
        <w:tc>
          <w:tcPr>
            <w:tcW w:type="dxa" w:w="68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Derived intelligence: signals from evidence and dependencies, trend indicators over time, and a calculated health score per instance.</w:t>
            </w:r>
          </w:p>
        </w:tc>
      </w:tr>
      <w:tr>
        <w:tc>
          <w:tcPr>
            <w:tcW w:type="dxa" w:w="25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Audit / Risk Intelligence</w:t>
            </w:r>
          </w:p>
        </w:tc>
        <w:tc>
          <w:tcPr>
            <w:tcW w:type="dxa" w:w="68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Audit-oriented and risk-oriented views of assurance intelligence for resolved instances.</w:t>
            </w:r>
          </w:p>
        </w:tc>
      </w:tr>
    </w:tbl>
    <w:p>
      <w:pPr>
        <w:pStyle w:val="Heading3"/>
        <w:spacing w:after="80" w:before="200"/>
      </w:pPr>
      <w:r>
        <w:rPr>
          <w:rFonts w:ascii="Lato" w:cs="Lato" w:eastAsia="Lato" w:hAnsi="Lato"/>
          <w:b/>
          <w:bCs/>
          <w:color w:val="0C1129"/>
          <w:sz w:val="22"/>
          <w:szCs w:val="22"/>
        </w:rPr>
        <w:t xml:space="preserve">Typical assurance cycle</w:t>
      </w:r>
    </w:p>
    <w:p>
      <w:pPr>
        <w:pStyle w:val="ListParagraph"/>
        <w:numPr>
          <w:ilvl w:val="0"/>
          <w:numId w:val="14"/>
        </w:numPr>
        <w:spacing w:after="90" w:line="268"/>
      </w:pPr>
      <w:r>
        <w:rPr>
          <w:rFonts w:ascii="Lato" w:cs="Lato" w:eastAsia="Lato" w:hAnsi="Lato"/>
          <w:color w:val="111827"/>
          <w:sz w:val="21"/>
          <w:szCs w:val="21"/>
        </w:rPr>
        <w:t xml:space="preserve">Generate activities for the period from Activity Generation.</w:t>
      </w:r>
    </w:p>
    <w:p>
      <w:pPr>
        <w:pStyle w:val="ListParagraph"/>
        <w:numPr>
          <w:ilvl w:val="0"/>
          <w:numId w:val="14"/>
        </w:numPr>
        <w:spacing w:after="90" w:line="268"/>
      </w:pPr>
      <w:r>
        <w:rPr>
          <w:rFonts w:ascii="Lato" w:cs="Lato" w:eastAsia="Lato" w:hAnsi="Lato"/>
          <w:color w:val="111827"/>
          <w:sz w:val="21"/>
          <w:szCs w:val="21"/>
        </w:rPr>
        <w:t xml:space="preserve">For each activity, execute the checks and complete Evidence Assurance and Dependency Assurance.</w:t>
      </w:r>
    </w:p>
    <w:p>
      <w:pPr>
        <w:pStyle w:val="ListParagraph"/>
        <w:numPr>
          <w:ilvl w:val="0"/>
          <w:numId w:val="14"/>
        </w:numPr>
        <w:spacing w:after="90" w:line="268"/>
      </w:pPr>
      <w:r>
        <w:rPr>
          <w:rFonts w:ascii="Lato" w:cs="Lato" w:eastAsia="Lato" w:hAnsi="Lato"/>
          <w:color w:val="111827"/>
          <w:sz w:val="21"/>
          <w:szCs w:val="21"/>
        </w:rPr>
        <w:t xml:space="preserve">Record the Assurance Result. Anything unresolved becomes a Finding, which flows back to the Gap Center as an assurance gap.</w:t>
      </w:r>
    </w:p>
    <w:p>
      <w:pPr>
        <w:pStyle w:val="ListParagraph"/>
        <w:numPr>
          <w:ilvl w:val="0"/>
          <w:numId w:val="14"/>
        </w:numPr>
        <w:spacing w:after="90" w:line="268"/>
      </w:pPr>
      <w:r>
        <w:rPr>
          <w:rFonts w:ascii="Lato" w:cs="Lato" w:eastAsia="Lato" w:hAnsi="Lato"/>
          <w:color w:val="111827"/>
          <w:sz w:val="21"/>
          <w:szCs w:val="21"/>
        </w:rPr>
        <w:t xml:space="preserve">Monitor Signals, Trends and Practice Health to see where attention is needed next.</w:t>
      </w:r>
    </w:p>
    <w:p>
      <w:pPr>
        <w:pStyle w:val="Heading1"/>
        <w:pBdr>
          <w:bottom w:val="single" w:color="467CEB" w:sz="12" w:space="6"/>
        </w:pBdr>
        <w:spacing w:after="160" w:before="360"/>
      </w:pPr>
      <w:r>
        <w:rPr>
          <w:rFonts w:ascii="Lato" w:cs="Lato" w:eastAsia="Lato" w:hAnsi="Lato"/>
          <w:b/>
          <w:bCs/>
          <w:color w:val="0C1129"/>
          <w:sz w:val="30"/>
          <w:szCs w:val="30"/>
        </w:rPr>
        <w:t xml:space="preserve">18. Audit Management</w:t>
      </w:r>
    </w:p>
    <w:p>
      <w:pPr>
        <w:spacing w:after="120" w:before="0" w:line="276"/>
      </w:pPr>
      <w:r>
        <w:rPr>
          <w:rFonts w:ascii="Lato" w:cs="Lato" w:eastAsia="Lato" w:hAnsi="Lato"/>
          <w:b w:val="false"/>
          <w:bCs w:val="false"/>
          <w:i w:val="false"/>
          <w:iCs w:val="false"/>
          <w:color w:val="111827"/>
          <w:sz w:val="21"/>
          <w:szCs w:val="21"/>
        </w:rPr>
        <w:t xml:space="preserve">Audit Management supports formal, scoped audits from definition through to recorded observations. It is configured once per audit definition and then run on a schedule or on demand.</w:t>
      </w:r>
    </w:p>
    <w:p>
      <w:pPr>
        <w:pStyle w:val="ListParagraph"/>
        <w:numPr>
          <w:ilvl w:val="0"/>
          <w:numId w:val="2"/>
        </w:numPr>
        <w:spacing w:after="80" w:line="268"/>
      </w:pPr>
      <w:r>
        <w:rPr>
          <w:rFonts w:ascii="Lato" w:cs="Lato" w:eastAsia="Lato" w:hAnsi="Lato"/>
          <w:b/>
          <w:bCs/>
          <w:color w:val="0C1129"/>
          <w:sz w:val="21"/>
          <w:szCs w:val="21"/>
        </w:rPr>
        <w:t xml:space="preserve">Audit Definitions. </w:t>
      </w:r>
      <w:r>
        <w:rPr>
          <w:rFonts w:ascii="Lato" w:cs="Lato" w:eastAsia="Lato" w:hAnsi="Lato"/>
          <w:color w:val="111827"/>
          <w:sz w:val="21"/>
          <w:szCs w:val="21"/>
        </w:rPr>
        <w:t xml:space="preserve">Define an audit — its details, category, owner and version — through a Draft / Under Review / Approved / Active / Retired lifecycle.</w:t>
      </w:r>
    </w:p>
    <w:p>
      <w:pPr>
        <w:pStyle w:val="ListParagraph"/>
        <w:numPr>
          <w:ilvl w:val="0"/>
          <w:numId w:val="2"/>
        </w:numPr>
        <w:spacing w:after="80" w:line="268"/>
      </w:pPr>
      <w:r>
        <w:rPr>
          <w:rFonts w:ascii="Lato" w:cs="Lato" w:eastAsia="Lato" w:hAnsi="Lato"/>
          <w:b/>
          <w:bCs/>
          <w:color w:val="0C1129"/>
          <w:sz w:val="21"/>
          <w:szCs w:val="21"/>
        </w:rPr>
        <w:t xml:space="preserve">Scope Builder &amp; Scope Resolution. </w:t>
      </w:r>
      <w:r>
        <w:rPr>
          <w:rFonts w:ascii="Lato" w:cs="Lato" w:eastAsia="Lato" w:hAnsi="Lato"/>
          <w:color w:val="111827"/>
          <w:sz w:val="21"/>
          <w:szCs w:val="21"/>
        </w:rPr>
        <w:t xml:space="preserve">Build the audit scope from groups and conditions across many dimensions with AND / OR / NOT operators, then preview or snapshot the resolved scope.</w:t>
      </w:r>
    </w:p>
    <w:p>
      <w:pPr>
        <w:pStyle w:val="ListParagraph"/>
        <w:numPr>
          <w:ilvl w:val="0"/>
          <w:numId w:val="2"/>
        </w:numPr>
        <w:spacing w:after="80" w:line="268"/>
      </w:pPr>
      <w:r>
        <w:rPr>
          <w:rFonts w:ascii="Lato" w:cs="Lato" w:eastAsia="Lato" w:hAnsi="Lato"/>
          <w:b/>
          <w:bCs/>
          <w:color w:val="0C1129"/>
          <w:sz w:val="21"/>
          <w:szCs w:val="21"/>
        </w:rPr>
        <w:t xml:space="preserve">Question Sets. </w:t>
      </w:r>
      <w:r>
        <w:rPr>
          <w:rFonts w:ascii="Lato" w:cs="Lato" w:eastAsia="Lato" w:hAnsi="Lato"/>
          <w:color w:val="111827"/>
          <w:sz w:val="21"/>
          <w:szCs w:val="21"/>
        </w:rPr>
        <w:t xml:space="preserve">Reusable sets of questions with types, mandatory flags, weights, order and expected responses.</w:t>
      </w:r>
    </w:p>
    <w:p>
      <w:pPr>
        <w:pStyle w:val="ListParagraph"/>
        <w:numPr>
          <w:ilvl w:val="0"/>
          <w:numId w:val="2"/>
        </w:numPr>
        <w:spacing w:after="80" w:line="268"/>
      </w:pPr>
      <w:r>
        <w:rPr>
          <w:rFonts w:ascii="Lato" w:cs="Lato" w:eastAsia="Lato" w:hAnsi="Lato"/>
          <w:b/>
          <w:bCs/>
          <w:color w:val="0C1129"/>
          <w:sz w:val="21"/>
          <w:szCs w:val="21"/>
        </w:rPr>
        <w:t xml:space="preserve">Evidence / Workflow / Scoring Config. </w:t>
      </w:r>
      <w:r>
        <w:rPr>
          <w:rFonts w:ascii="Lato" w:cs="Lato" w:eastAsia="Lato" w:hAnsi="Lato"/>
          <w:color w:val="111827"/>
          <w:sz w:val="21"/>
          <w:szCs w:val="21"/>
        </w:rPr>
        <w:t xml:space="preserve">Configure the evidence expected, the review workflow (auditor, reviewer, approver, SLA, escalation) and the scoring model (Pass/Fail, Weighted, Risk-Based, Maturity, Percentage or Custom) with thresholds.</w:t>
      </w:r>
    </w:p>
    <w:p>
      <w:pPr>
        <w:pStyle w:val="ListParagraph"/>
        <w:numPr>
          <w:ilvl w:val="0"/>
          <w:numId w:val="2"/>
        </w:numPr>
        <w:spacing w:after="80" w:line="268"/>
      </w:pPr>
      <w:r>
        <w:rPr>
          <w:rFonts w:ascii="Lato" w:cs="Lato" w:eastAsia="Lato" w:hAnsi="Lato"/>
          <w:b/>
          <w:bCs/>
          <w:color w:val="0C1129"/>
          <w:sz w:val="21"/>
          <w:szCs w:val="21"/>
        </w:rPr>
        <w:t xml:space="preserve">Audit Plans &amp; Triggers. </w:t>
      </w:r>
      <w:r>
        <w:rPr>
          <w:rFonts w:ascii="Lato" w:cs="Lato" w:eastAsia="Lato" w:hAnsi="Lato"/>
          <w:color w:val="111827"/>
          <w:sz w:val="21"/>
          <w:szCs w:val="21"/>
        </w:rPr>
        <w:t xml:space="preserve">Annual, quarterly, monthly or one-time plans that schedule audits, plus Scheduled / Event-Driven / Continuous / Manual triggers.</w:t>
      </w:r>
    </w:p>
    <w:p>
      <w:pPr>
        <w:pStyle w:val="ListParagraph"/>
        <w:numPr>
          <w:ilvl w:val="0"/>
          <w:numId w:val="2"/>
        </w:numPr>
        <w:spacing w:after="80" w:line="268"/>
      </w:pPr>
      <w:r>
        <w:rPr>
          <w:rFonts w:ascii="Lato" w:cs="Lato" w:eastAsia="Lato" w:hAnsi="Lato"/>
          <w:b/>
          <w:bCs/>
          <w:color w:val="0C1129"/>
          <w:sz w:val="21"/>
          <w:szCs w:val="21"/>
        </w:rPr>
        <w:t xml:space="preserve">Executions &amp; Observations. </w:t>
      </w:r>
      <w:r>
        <w:rPr>
          <w:rFonts w:ascii="Lato" w:cs="Lato" w:eastAsia="Lato" w:hAnsi="Lato"/>
          <w:color w:val="111827"/>
          <w:sz w:val="21"/>
          <w:szCs w:val="21"/>
        </w:rPr>
        <w:t xml:space="preserve">Materialize live executions against a resolved scope snapshot, and capture findings as observations — with evidence, review and resolution.</w:t>
      </w:r>
    </w:p>
    <w:p>
      <w:pPr>
        <w:pStyle w:val="Heading1"/>
        <w:pBdr>
          <w:bottom w:val="single" w:color="467CEB" w:sz="12" w:space="6"/>
        </w:pBdr>
        <w:spacing w:after="160" w:before="360"/>
      </w:pPr>
      <w:r>
        <w:rPr>
          <w:rFonts w:ascii="Lato" w:cs="Lato" w:eastAsia="Lato" w:hAnsi="Lato"/>
          <w:b/>
          <w:bCs/>
          <w:color w:val="0C1129"/>
          <w:sz w:val="30"/>
          <w:szCs w:val="30"/>
        </w:rPr>
        <w:t xml:space="preserve">19. Workflow &amp; event-driven assurance</w:t>
      </w:r>
    </w:p>
    <w:p>
      <w:pPr>
        <w:spacing w:after="120" w:before="0" w:line="276"/>
      </w:pPr>
      <w:r>
        <w:rPr>
          <w:rFonts w:ascii="Lato" w:cs="Lato" w:eastAsia="Lato" w:hAnsi="Lato"/>
          <w:b w:val="false"/>
          <w:bCs w:val="false"/>
          <w:i w:val="false"/>
          <w:iCs w:val="false"/>
          <w:color w:val="111827"/>
          <w:sz w:val="21"/>
          <w:szCs w:val="21"/>
        </w:rPr>
        <w:t xml:space="preserve">The Workflow group lets an organization define its own lifecycle automation, rather than relying on hard-coded categories.</w:t>
      </w:r>
    </w:p>
    <w:p>
      <w:pPr>
        <w:pStyle w:val="ListParagraph"/>
        <w:numPr>
          <w:ilvl w:val="0"/>
          <w:numId w:val="2"/>
        </w:numPr>
        <w:spacing w:after="80" w:line="268"/>
      </w:pPr>
      <w:r>
        <w:rPr>
          <w:rFonts w:ascii="Lato" w:cs="Lato" w:eastAsia="Lato" w:hAnsi="Lato"/>
          <w:b/>
          <w:bCs/>
          <w:color w:val="0C1129"/>
          <w:sz w:val="21"/>
          <w:szCs w:val="21"/>
        </w:rPr>
        <w:t xml:space="preserve">Workflow Definitions &amp; Stages. </w:t>
      </w:r>
      <w:r>
        <w:rPr>
          <w:rFonts w:ascii="Lato" w:cs="Lato" w:eastAsia="Lato" w:hAnsi="Lato"/>
          <w:color w:val="111827"/>
          <w:sz w:val="21"/>
          <w:szCs w:val="21"/>
        </w:rPr>
        <w:t xml:space="preserve">Versioned, organization-defined workflows with ordered stages and allowed transitions.</w:t>
      </w:r>
    </w:p>
    <w:p>
      <w:pPr>
        <w:pStyle w:val="ListParagraph"/>
        <w:numPr>
          <w:ilvl w:val="0"/>
          <w:numId w:val="2"/>
        </w:numPr>
        <w:spacing w:after="80" w:line="268"/>
      </w:pPr>
      <w:r>
        <w:rPr>
          <w:rFonts w:ascii="Lato" w:cs="Lato" w:eastAsia="Lato" w:hAnsi="Lato"/>
          <w:b/>
          <w:bCs/>
          <w:color w:val="0C1129"/>
          <w:sz w:val="21"/>
          <w:szCs w:val="21"/>
        </w:rPr>
        <w:t xml:space="preserve">Entity Types &amp; Events. </w:t>
      </w:r>
      <w:r>
        <w:rPr>
          <w:rFonts w:ascii="Lato" w:cs="Lato" w:eastAsia="Lato" w:hAnsi="Lato"/>
          <w:color w:val="111827"/>
          <w:sz w:val="21"/>
          <w:szCs w:val="21"/>
        </w:rPr>
        <w:t xml:space="preserve">The entity types the engine understands and the lifecycle events the organization wants to observe — across People, Assets, Vendor, Application and Custom categories.</w:t>
      </w:r>
    </w:p>
    <w:p>
      <w:pPr>
        <w:pStyle w:val="ListParagraph"/>
        <w:numPr>
          <w:ilvl w:val="0"/>
          <w:numId w:val="2"/>
        </w:numPr>
        <w:spacing w:after="80" w:line="268"/>
      </w:pPr>
      <w:r>
        <w:rPr>
          <w:rFonts w:ascii="Lato" w:cs="Lato" w:eastAsia="Lato" w:hAnsi="Lato"/>
          <w:b/>
          <w:bCs/>
          <w:color w:val="0C1129"/>
          <w:sz w:val="21"/>
          <w:szCs w:val="21"/>
        </w:rPr>
        <w:t xml:space="preserve">Checklists &amp; Event-Checklist Mappings. </w:t>
      </w:r>
      <w:r>
        <w:rPr>
          <w:rFonts w:ascii="Lato" w:cs="Lato" w:eastAsia="Lato" w:hAnsi="Lato"/>
          <w:color w:val="111827"/>
          <w:sz w:val="21"/>
          <w:szCs w:val="21"/>
        </w:rPr>
        <w:t xml:space="preserve">Reusable checklists (manual, automated, API, document, approval, integration) mapped to entity + event combinations to drive the trigger engine.</w:t>
      </w:r>
    </w:p>
    <w:p>
      <w:pPr>
        <w:pStyle w:val="ListParagraph"/>
        <w:numPr>
          <w:ilvl w:val="0"/>
          <w:numId w:val="2"/>
        </w:numPr>
        <w:spacing w:after="80" w:line="268"/>
      </w:pPr>
      <w:r>
        <w:rPr>
          <w:rFonts w:ascii="Lato" w:cs="Lato" w:eastAsia="Lato" w:hAnsi="Lato"/>
          <w:b/>
          <w:bCs/>
          <w:color w:val="0C1129"/>
          <w:sz w:val="21"/>
          <w:szCs w:val="21"/>
        </w:rPr>
        <w:t xml:space="preserve">Event Assurance. </w:t>
      </w:r>
      <w:r>
        <w:rPr>
          <w:rFonts w:ascii="Lato" w:cs="Lato" w:eastAsia="Lato" w:hAnsi="Lato"/>
          <w:color w:val="111827"/>
          <w:sz w:val="21"/>
          <w:szCs w:val="21"/>
        </w:rPr>
        <w:t xml:space="preserve">Event-driven assurance instances — received, pending, completed, failed and overdue — raised when a mapped event fires (for example onboarding or offboarding a person).</w:t>
      </w:r>
    </w:p>
    <w:p>
      <w:pPr>
        <w:pStyle w:val="Heading1"/>
        <w:pBdr>
          <w:bottom w:val="single" w:color="467CEB" w:sz="12" w:space="6"/>
        </w:pBdr>
        <w:spacing w:after="160" w:before="360"/>
      </w:pPr>
      <w:r>
        <w:rPr>
          <w:rFonts w:ascii="Lato" w:cs="Lato" w:eastAsia="Lato" w:hAnsi="Lato"/>
          <w:b/>
          <w:bCs/>
          <w:color w:val="0C1129"/>
          <w:sz w:val="30"/>
          <w:szCs w:val="30"/>
        </w:rPr>
        <w:t xml:space="preserve">20. Documents, notifications &amp; calendar</w:t>
      </w:r>
    </w:p>
    <w:p>
      <w:pPr>
        <w:pStyle w:val="ListParagraph"/>
        <w:numPr>
          <w:ilvl w:val="0"/>
          <w:numId w:val="2"/>
        </w:numPr>
        <w:spacing w:after="80" w:line="268"/>
      </w:pPr>
      <w:r>
        <w:rPr>
          <w:rFonts w:ascii="Lato" w:cs="Lato" w:eastAsia="Lato" w:hAnsi="Lato"/>
          <w:b/>
          <w:bCs/>
          <w:color w:val="0C1129"/>
          <w:sz w:val="21"/>
          <w:szCs w:val="21"/>
        </w:rPr>
        <w:t xml:space="preserve">Document Library. </w:t>
      </w:r>
      <w:r>
        <w:rPr>
          <w:rFonts w:ascii="Lato" w:cs="Lato" w:eastAsia="Lato" w:hAnsi="Lato"/>
          <w:color w:val="111827"/>
          <w:sz w:val="21"/>
          <w:szCs w:val="21"/>
        </w:rPr>
        <w:t xml:space="preserve">Register controlled documents, distribute them, and route them through review and approval, with version and next-review tracking.</w:t>
      </w:r>
    </w:p>
    <w:p>
      <w:pPr>
        <w:pStyle w:val="ListParagraph"/>
        <w:numPr>
          <w:ilvl w:val="0"/>
          <w:numId w:val="2"/>
        </w:numPr>
        <w:spacing w:after="80" w:line="268"/>
      </w:pPr>
      <w:r>
        <w:rPr>
          <w:rFonts w:ascii="Lato" w:cs="Lato" w:eastAsia="Lato" w:hAnsi="Lato"/>
          <w:b/>
          <w:bCs/>
          <w:color w:val="0C1129"/>
          <w:sz w:val="21"/>
          <w:szCs w:val="21"/>
        </w:rPr>
        <w:t xml:space="preserve">Document Acknowledgements. </w:t>
      </w:r>
      <w:r>
        <w:rPr>
          <w:rFonts w:ascii="Lato" w:cs="Lato" w:eastAsia="Lato" w:hAnsi="Lato"/>
          <w:color w:val="111827"/>
          <w:sz w:val="21"/>
          <w:szCs w:val="21"/>
        </w:rPr>
        <w:t xml:space="preserve">Roll published documents into named batches and track who has acknowledged each. My Acknowledgements is where a user confirms the documents they have been asked to read.</w:t>
      </w:r>
    </w:p>
    <w:p>
      <w:pPr>
        <w:pStyle w:val="ListParagraph"/>
        <w:numPr>
          <w:ilvl w:val="0"/>
          <w:numId w:val="2"/>
        </w:numPr>
        <w:spacing w:after="80" w:line="268"/>
      </w:pPr>
      <w:r>
        <w:rPr>
          <w:rFonts w:ascii="Lato" w:cs="Lato" w:eastAsia="Lato" w:hAnsi="Lato"/>
          <w:b/>
          <w:bCs/>
          <w:color w:val="0C1129"/>
          <w:sz w:val="21"/>
          <w:szCs w:val="21"/>
        </w:rPr>
        <w:t xml:space="preserve">My Notifications. </w:t>
      </w:r>
      <w:r>
        <w:rPr>
          <w:rFonts w:ascii="Lato" w:cs="Lato" w:eastAsia="Lato" w:hAnsi="Lato"/>
          <w:color w:val="111827"/>
          <w:sz w:val="21"/>
          <w:szCs w:val="21"/>
        </w:rPr>
        <w:t xml:space="preserve">Task SLA warnings, breaches and escalations addressed to you.</w:t>
      </w:r>
    </w:p>
    <w:p>
      <w:pPr>
        <w:pStyle w:val="ListParagraph"/>
        <w:numPr>
          <w:ilvl w:val="0"/>
          <w:numId w:val="2"/>
        </w:numPr>
        <w:spacing w:after="80" w:line="268"/>
      </w:pPr>
      <w:r>
        <w:rPr>
          <w:rFonts w:ascii="Lato" w:cs="Lato" w:eastAsia="Lato" w:hAnsi="Lato"/>
          <w:b/>
          <w:bCs/>
          <w:color w:val="0C1129"/>
          <w:sz w:val="21"/>
          <w:szCs w:val="21"/>
        </w:rPr>
        <w:t xml:space="preserve">Audit Calendar. </w:t>
      </w:r>
      <w:r>
        <w:rPr>
          <w:rFonts w:ascii="Lato" w:cs="Lato" w:eastAsia="Lato" w:hAnsi="Lato"/>
          <w:color w:val="111827"/>
          <w:sz w:val="21"/>
          <w:szCs w:val="21"/>
        </w:rPr>
        <w:t xml:space="preserve">A calendar and per-schedule list of the execution and assurance obligation schedules, one row per configured schedule.</w:t>
      </w:r>
    </w:p>
    <w:p>
      <w:r>
        <w:br w:type="page"/>
      </w:r>
    </w:p>
    <w:p>
      <w:pPr>
        <w:pStyle w:val="Heading1"/>
        <w:pBdr>
          <w:bottom w:val="single" w:color="467CEB" w:sz="12" w:space="6"/>
        </w:pBdr>
        <w:spacing w:after="160" w:before="360"/>
      </w:pPr>
      <w:r>
        <w:rPr>
          <w:rFonts w:ascii="Lato" w:cs="Lato" w:eastAsia="Lato" w:hAnsi="Lato"/>
          <w:b/>
          <w:bCs/>
          <w:color w:val="0C1129"/>
          <w:sz w:val="30"/>
          <w:szCs w:val="30"/>
        </w:rPr>
        <w:t xml:space="preserve">Appendix A. Status reference</w:t>
      </w:r>
    </w:p>
    <w:p>
      <w:pPr>
        <w:pStyle w:val="Heading3"/>
        <w:spacing w:after="80" w:before="200"/>
      </w:pPr>
      <w:r>
        <w:rPr>
          <w:rFonts w:ascii="Lato" w:cs="Lato" w:eastAsia="Lato" w:hAnsi="Lato"/>
          <w:b/>
          <w:bCs/>
          <w:color w:val="0C1129"/>
          <w:sz w:val="22"/>
          <w:szCs w:val="22"/>
        </w:rPr>
        <w:t xml:space="preserve">Implementation status</w:t>
      </w:r>
    </w:p>
    <w:p>
      <w:pPr>
        <w:spacing w:after="120" w:before="0" w:line="276"/>
      </w:pPr>
      <w:r>
        <w:rPr>
          <w:rFonts w:ascii="Lato" w:cs="Lato" w:eastAsia="Lato" w:hAnsi="Lato"/>
          <w:b w:val="false"/>
          <w:bCs w:val="false"/>
          <w:i w:val="false"/>
          <w:iCs w:val="false"/>
          <w:color w:val="111827"/>
          <w:sz w:val="21"/>
          <w:szCs w:val="21"/>
        </w:rPr>
        <w:t xml:space="preserve">A practice instance’s implementation status is derived automatically from whether its obligations are adopted and evidenced — it is not set by hand. In broad terms:</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3000"/>
        <w:gridCol w:w="6360"/>
      </w:tblGrid>
      <w:tr>
        <w:trPr>
          <w:tblHeader/>
        </w:trPr>
        <w:tc>
          <w:tcPr>
            <w:tcW w:type="dxa" w:w="30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Status</w:t>
            </w:r>
          </w:p>
        </w:tc>
        <w:tc>
          <w:tcPr>
            <w:tcW w:type="dxa" w:w="63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Meaning</w:t>
            </w:r>
          </w:p>
        </w:tc>
      </w:tr>
      <w:tr>
        <w:tc>
          <w:tcPr>
            <w:tcW w:type="dxa" w:w="3000"/>
            <w:shd w:fill="FFFFFF" w:val="clear"/>
            <w:tcMar>
              <w:top w:type="dxa" w:w="60"/>
              <w:left w:type="dxa" w:w="110"/>
              <w:bottom w:type="dxa" w:w="60"/>
              <w:right w:type="dxa" w:w="110"/>
            </w:tcMar>
          </w:tcPr>
          <w:p>
            <w:pPr>
              <w:spacing w:after="0" w:line="256"/>
            </w:pPr>
            <w:r>
              <w:rPr>
                <w:rFonts w:ascii="Lato" w:cs="Lato" w:eastAsia="Lato" w:hAnsi="Lato"/>
                <w:b/>
                <w:bCs/>
                <w:color w:val="15803D"/>
                <w:sz w:val="19"/>
                <w:szCs w:val="19"/>
              </w:rPr>
              <w:t xml:space="preserve">Implemented</w:t>
            </w:r>
          </w:p>
        </w:tc>
        <w:tc>
          <w:tcPr>
            <w:tcW w:type="dxa" w:w="63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All obligations are adopted and fully evidenced.</w:t>
            </w:r>
          </w:p>
        </w:tc>
      </w:tr>
      <w:tr>
        <w:tc>
          <w:tcPr>
            <w:tcW w:type="dxa" w:w="3000"/>
            <w:shd w:fill="F5F7FB" w:val="clear"/>
            <w:tcMar>
              <w:top w:type="dxa" w:w="60"/>
              <w:left w:type="dxa" w:w="110"/>
              <w:bottom w:type="dxa" w:w="60"/>
              <w:right w:type="dxa" w:w="110"/>
            </w:tcMar>
          </w:tcPr>
          <w:p>
            <w:pPr>
              <w:spacing w:after="0" w:line="256"/>
            </w:pPr>
            <w:r>
              <w:rPr>
                <w:rFonts w:ascii="Lato" w:cs="Lato" w:eastAsia="Lato" w:hAnsi="Lato"/>
                <w:b/>
                <w:bCs/>
                <w:color w:val="B45309"/>
                <w:sz w:val="19"/>
                <w:szCs w:val="19"/>
              </w:rPr>
              <w:t xml:space="preserve">In progress / Not updated</w:t>
            </w:r>
          </w:p>
        </w:tc>
        <w:tc>
          <w:tcPr>
            <w:tcW w:type="dxa" w:w="63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Some obligations remain to be adopted or evidenced.</w:t>
            </w:r>
          </w:p>
        </w:tc>
      </w:tr>
      <w:tr>
        <w:tc>
          <w:tcPr>
            <w:tcW w:type="dxa" w:w="3000"/>
            <w:shd w:fill="FFFFFF" w:val="clear"/>
            <w:tcMar>
              <w:top w:type="dxa" w:w="60"/>
              <w:left w:type="dxa" w:w="110"/>
              <w:bottom w:type="dxa" w:w="60"/>
              <w:right w:type="dxa" w:w="110"/>
            </w:tcMar>
          </w:tcPr>
          <w:p>
            <w:pPr>
              <w:spacing w:after="0" w:line="256"/>
            </w:pPr>
            <w:r>
              <w:rPr>
                <w:rFonts w:ascii="Lato" w:cs="Lato" w:eastAsia="Lato" w:hAnsi="Lato"/>
                <w:b/>
                <w:bCs/>
                <w:color w:val="6B7280"/>
                <w:sz w:val="19"/>
                <w:szCs w:val="19"/>
              </w:rPr>
              <w:t xml:space="preserve">Not applicable</w:t>
            </w:r>
          </w:p>
        </w:tc>
        <w:tc>
          <w:tcPr>
            <w:tcW w:type="dxa" w:w="63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requirement or practice has been justified as out of scope.</w:t>
            </w:r>
          </w:p>
        </w:tc>
      </w:tr>
    </w:tbl>
    <w:p>
      <w:pPr>
        <w:pStyle w:val="Heading3"/>
        <w:spacing w:after="80" w:before="200"/>
      </w:pPr>
      <w:r>
        <w:rPr>
          <w:rFonts w:ascii="Lato" w:cs="Lato" w:eastAsia="Lato" w:hAnsi="Lato"/>
          <w:b/>
          <w:bCs/>
          <w:color w:val="0C1129"/>
          <w:sz w:val="22"/>
          <w:szCs w:val="22"/>
        </w:rPr>
        <w:t xml:space="preserve">Evidence state</w:t>
      </w:r>
    </w:p>
    <w:p>
      <w:pPr>
        <w:spacing w:after="120" w:before="0" w:line="276"/>
      </w:pPr>
      <w:r>
        <w:rPr>
          <w:rFonts w:ascii="Lato" w:cs="Lato" w:eastAsia="Lato" w:hAnsi="Lato"/>
          <w:color w:val="111827"/>
          <w:sz w:val="21"/>
          <w:szCs w:val="21"/>
        </w:rPr>
        <w:t xml:space="preserve">Evidence is shown as resolved (green) only when its full details are present — both the evidence location and how to locate it. An obligation saved without evidence details stays unresolved until those are filled in.</w:t>
      </w:r>
    </w:p>
    <w:p>
      <w:pPr>
        <w:pStyle w:val="Heading1"/>
        <w:pBdr>
          <w:bottom w:val="single" w:color="467CEB" w:sz="12" w:space="6"/>
        </w:pBdr>
        <w:spacing w:after="160" w:before="360"/>
      </w:pPr>
      <w:r>
        <w:rPr>
          <w:rFonts w:ascii="Lato" w:cs="Lato" w:eastAsia="Lato" w:hAnsi="Lato"/>
          <w:b/>
          <w:bCs/>
          <w:color w:val="0C1129"/>
          <w:sz w:val="30"/>
          <w:szCs w:val="30"/>
        </w:rPr>
        <w:t xml:space="preserve">Appendix B. Glossary</w:t>
      </w:r>
    </w:p>
    <w:tbl>
      <w:tblPr>
        <w:tblW w:type="dxa" w:w="9360"/>
        <w:tblBorders>
          <w:top w:val="single" w:color="E5E7EB" w:sz="2"/>
          <w:left w:val="single" w:color="E5E7EB" w:sz="2"/>
          <w:bottom w:val="single" w:color="E5E7EB" w:sz="2"/>
          <w:right w:val="single" w:color="E5E7EB" w:sz="2"/>
          <w:insideH w:val="single" w:color="E5E7EB" w:sz="2"/>
          <w:insideV w:val="single" w:color="E5E7EB" w:sz="2"/>
        </w:tblBorders>
      </w:tblPr>
      <w:tblGrid>
        <w:gridCol w:w="2400"/>
        <w:gridCol w:w="6960"/>
      </w:tblGrid>
      <w:tr>
        <w:trPr>
          <w:tblHeader/>
        </w:trPr>
        <w:tc>
          <w:tcPr>
            <w:tcW w:type="dxa" w:w="240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Term</w:t>
            </w:r>
          </w:p>
        </w:tc>
        <w:tc>
          <w:tcPr>
            <w:tcW w:type="dxa" w:w="6960"/>
            <w:shd w:fill="0C1129" w:val="clear"/>
            <w:tcMar>
              <w:top w:type="dxa" w:w="70"/>
              <w:left w:type="dxa" w:w="110"/>
              <w:bottom w:type="dxa" w:w="70"/>
              <w:right w:type="dxa" w:w="110"/>
            </w:tcMar>
          </w:tcPr>
          <w:p>
            <w:pPr>
              <w:spacing w:after="0"/>
            </w:pPr>
            <w:r>
              <w:rPr>
                <w:rFonts w:ascii="Lato" w:cs="Lato" w:eastAsia="Lato" w:hAnsi="Lato"/>
                <w:b/>
                <w:bCs/>
                <w:color w:val="FFFFFF"/>
                <w:sz w:val="19"/>
                <w:szCs w:val="19"/>
              </w:rPr>
              <w:t xml:space="preserve">Definition</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Applicability</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recorded decision, with reason, that a requirement or practice does or does not apply.</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Assurance activity</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generated unit of independent checking against a practice instance for a period.</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Custodian</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owner of a dependency (an application, tool, vendor, asset, and so on) who resolves it in the Registers workbench.</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Dependency</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thing a practice instance relies on to operate, resolved against a register entry.</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Evidence obligation</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record a practice instance must hold to prove it is operating.</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Exception</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documented, time-boxed acceptance of a gap instead of an immediate fix.</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Execution obligation</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 activity a practice instance must perform.</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Finding</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 issue raised by assurance where evidence or a dependency is unresolved.</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Gap</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Any implementation, assurance or custom shortfall in the unified work queue.</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The organization’s chosen method of satisfying one or more source statements.</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Practice instance</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One team’s copy of a practice, with its own owner, frequency and evidence.</w:t>
            </w:r>
          </w:p>
        </w:tc>
      </w:tr>
      <w:tr>
        <w:tc>
          <w:tcPr>
            <w:tcW w:type="dxa" w:w="240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Risk candidate</w:t>
            </w:r>
          </w:p>
        </w:tc>
        <w:tc>
          <w:tcPr>
            <w:tcW w:type="dxa" w:w="6960"/>
            <w:shd w:fill="F5F7FB"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 potential risk raised from a gap, exception or assurance, awaiting assessment.</w:t>
            </w:r>
          </w:p>
        </w:tc>
      </w:tr>
      <w:tr>
        <w:tc>
          <w:tcPr>
            <w:tcW w:type="dxa" w:w="240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Source statement</w:t>
            </w:r>
          </w:p>
        </w:tc>
        <w:tc>
          <w:tcPr>
            <w:tcW w:type="dxa" w:w="6960"/>
            <w:shd w:fill="FFFFFF" w:val="clear"/>
            <w:tcMar>
              <w:top w:type="dxa" w:w="60"/>
              <w:left w:type="dxa" w:w="110"/>
              <w:bottom w:type="dxa" w:w="60"/>
              <w:right w:type="dxa" w:w="110"/>
            </w:tcMar>
          </w:tcPr>
          <w:p>
            <w:pPr>
              <w:spacing w:after="0" w:line="256"/>
            </w:pPr>
            <w:r>
              <w:rPr>
                <w:rFonts w:ascii="Lato" w:cs="Lato" w:eastAsia="Lato" w:hAnsi="Lato"/>
                <w:color w:val="1F2937"/>
                <w:sz w:val="19"/>
                <w:szCs w:val="19"/>
              </w:rPr>
              <w:t xml:space="preserve">An individual requirement inside a subscribed framework release.</w:t>
            </w:r>
          </w:p>
        </w:tc>
      </w:tr>
    </w:tbl>
    <w:p>
      <w:pPr>
        <w:spacing w:after="200"/>
      </w:pPr>
    </w:p>
    <w:p>
      <w:pPr>
        <w:spacing w:before="240"/>
        <w:jc w:val="center"/>
      </w:pPr>
      <w:r>
        <w:rPr>
          <w:rFonts w:ascii="Lato" w:cs="Lato" w:eastAsia="Lato" w:hAnsi="Lato"/>
          <w:color w:val="6B7280"/>
          <w:sz w:val="16"/>
          <w:szCs w:val="16"/>
        </w:rPr>
        <w:t xml:space="preserve">GRAC Sentinel Pvt Ltd  —  Practice Management User Guide  —  Confidential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0"/>
      <w:jc w:val="center"/>
    </w:pPr>
    <w:r>
      <w:rPr>
        <w:rFonts w:ascii="Lato" w:cs="Lato" w:eastAsia="Lato" w:hAnsi="Lato"/>
        <w:color w:val="6B7280"/>
        <w:sz w:val="15"/>
        <w:szCs w:val="15"/>
      </w:rPr>
      <w:t xml:space="preserve">GRAC Sentinel  —  Confidential          Page </w:t>
    </w:r>
    <w:r>
      <w:rPr>
        <w:rFonts w:ascii="Lato" w:cs="Lato" w:eastAsia="Lato" w:hAnsi="Lato"/>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spacing w:after="0"/>
      <w:jc w:val="right"/>
    </w:pPr>
    <w:r>
      <w:rPr>
        <w:rFonts w:ascii="Lato" w:cs="Lato" w:eastAsia="Lato" w:hAnsi="Lato"/>
        <w:color w:val="6B7280"/>
        <w:sz w:val="15"/>
        <w:szCs w:val="15"/>
      </w:rPr>
      <w:t xml:space="preserve">GRAC  |  Practice Management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467CEB"/>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80" w:hanging="300"/>
      </w:pPr>
      <w:rPr>
        <w:b/>
        <w:bCs/>
        <w:color w:val="0C1129"/>
      </w:rPr>
    </w:lvl>
  </w:abstractNum>
  <w:abstractNum w:abstractNumId="4" w15:restartNumberingAfterBreak="0">
    <w:multiLevelType w:val="hybridMultilevel"/>
    <w:lvl w:ilvl="0" w15:tentative="1">
      <w:start w:val="1"/>
      <w:numFmt w:val="decimal"/>
      <w:lvlText w:val="%1."/>
      <w:lvlJc w:val="left"/>
      <w:pPr>
        <w:ind w:left="380" w:hanging="300"/>
      </w:pPr>
      <w:rPr>
        <w:b/>
        <w:bCs/>
        <w:color w:val="0C1129"/>
      </w:rPr>
    </w:lvl>
  </w:abstractNum>
  <w:abstractNum w:abstractNumId="5" w15:restartNumberingAfterBreak="0">
    <w:multiLevelType w:val="hybridMultilevel"/>
    <w:lvl w:ilvl="0" w15:tentative="1">
      <w:start w:val="1"/>
      <w:numFmt w:val="decimal"/>
      <w:lvlText w:val="%1."/>
      <w:lvlJc w:val="left"/>
      <w:pPr>
        <w:ind w:left="380" w:hanging="300"/>
      </w:pPr>
      <w:rPr>
        <w:b/>
        <w:bCs/>
        <w:color w:val="0C1129"/>
      </w:rPr>
    </w:lvl>
  </w:abstractNum>
  <w:abstractNum w:abstractNumId="6" w15:restartNumberingAfterBreak="0">
    <w:multiLevelType w:val="hybridMultilevel"/>
    <w:lvl w:ilvl="0" w15:tentative="1">
      <w:start w:val="1"/>
      <w:numFmt w:val="decimal"/>
      <w:lvlText w:val="%1."/>
      <w:lvlJc w:val="left"/>
      <w:pPr>
        <w:ind w:left="380" w:hanging="300"/>
      </w:pPr>
      <w:rPr>
        <w:b/>
        <w:bCs/>
        <w:color w:val="0C1129"/>
      </w:rPr>
    </w:lvl>
  </w:abstractNum>
  <w:abstractNum w:abstractNumId="7" w15:restartNumberingAfterBreak="0">
    <w:multiLevelType w:val="hybridMultilevel"/>
    <w:lvl w:ilvl="0" w15:tentative="1">
      <w:start w:val="1"/>
      <w:numFmt w:val="decimal"/>
      <w:lvlText w:val="%1."/>
      <w:lvlJc w:val="left"/>
      <w:pPr>
        <w:ind w:left="380" w:hanging="300"/>
      </w:pPr>
      <w:rPr>
        <w:b/>
        <w:bCs/>
        <w:color w:val="0C1129"/>
      </w:rPr>
    </w:lvl>
  </w:abstractNum>
  <w:abstractNum w:abstractNumId="8" w15:restartNumberingAfterBreak="0">
    <w:multiLevelType w:val="hybridMultilevel"/>
    <w:lvl w:ilvl="0" w15:tentative="1">
      <w:start w:val="1"/>
      <w:numFmt w:val="decimal"/>
      <w:lvlText w:val="%1."/>
      <w:lvlJc w:val="left"/>
      <w:pPr>
        <w:ind w:left="380" w:hanging="300"/>
      </w:pPr>
      <w:rPr>
        <w:b/>
        <w:bCs/>
        <w:color w:val="0C1129"/>
      </w:rPr>
    </w:lvl>
  </w:abstractNum>
  <w:abstractNum w:abstractNumId="9" w15:restartNumberingAfterBreak="0">
    <w:multiLevelType w:val="hybridMultilevel"/>
    <w:lvl w:ilvl="0" w15:tentative="1">
      <w:start w:val="1"/>
      <w:numFmt w:val="decimal"/>
      <w:lvlText w:val="%1."/>
      <w:lvlJc w:val="left"/>
      <w:pPr>
        <w:ind w:left="380" w:hanging="300"/>
      </w:pPr>
      <w:rPr>
        <w:b/>
        <w:bCs/>
        <w:color w:val="0C1129"/>
      </w:rPr>
    </w:lvl>
  </w:abstractNum>
  <w:abstractNum w:abstractNumId="10" w15:restartNumberingAfterBreak="0">
    <w:multiLevelType w:val="hybridMultilevel"/>
    <w:lvl w:ilvl="0" w15:tentative="1">
      <w:start w:val="1"/>
      <w:numFmt w:val="decimal"/>
      <w:lvlText w:val="%1."/>
      <w:lvlJc w:val="left"/>
      <w:pPr>
        <w:ind w:left="380" w:hanging="300"/>
      </w:pPr>
      <w:rPr>
        <w:b/>
        <w:bCs/>
        <w:color w:val="0C1129"/>
      </w:rPr>
    </w:lvl>
  </w:abstractNum>
  <w:abstractNum w:abstractNumId="11" w15:restartNumberingAfterBreak="0">
    <w:multiLevelType w:val="hybridMultilevel"/>
    <w:lvl w:ilvl="0" w15:tentative="1">
      <w:start w:val="1"/>
      <w:numFmt w:val="decimal"/>
      <w:lvlText w:val="%1."/>
      <w:lvlJc w:val="left"/>
      <w:pPr>
        <w:ind w:left="380" w:hanging="300"/>
      </w:pPr>
      <w:rPr>
        <w:b/>
        <w:bCs/>
        <w:color w:val="0C1129"/>
      </w:rPr>
    </w:lvl>
  </w:abstractNum>
  <w:abstractNum w:abstractNumId="12" w15:restartNumberingAfterBreak="0">
    <w:multiLevelType w:val="hybridMultilevel"/>
    <w:lvl w:ilvl="0" w15:tentative="1">
      <w:start w:val="1"/>
      <w:numFmt w:val="decimal"/>
      <w:lvlText w:val="%1."/>
      <w:lvlJc w:val="left"/>
      <w:pPr>
        <w:ind w:left="380" w:hanging="300"/>
      </w:pPr>
      <w:rPr>
        <w:b/>
        <w:bCs/>
        <w:color w:val="0C1129"/>
      </w:rPr>
    </w:lvl>
  </w:abstractNum>
  <w:abstractNum w:abstractNumId="13" w15:restartNumberingAfterBreak="0">
    <w:multiLevelType w:val="hybridMultilevel"/>
    <w:lvl w:ilvl="0" w15:tentative="1">
      <w:start w:val="1"/>
      <w:numFmt w:val="decimal"/>
      <w:lvlText w:val="%1."/>
      <w:lvlJc w:val="left"/>
      <w:pPr>
        <w:ind w:left="380" w:hanging="300"/>
      </w:pPr>
      <w:rPr>
        <w:b/>
        <w:bCs/>
        <w:color w:val="0C1129"/>
      </w:rPr>
    </w:lvl>
  </w:abstractNum>
  <w:abstractNum w:abstractNumId="14" w15:restartNumberingAfterBreak="0">
    <w:multiLevelType w:val="hybridMultilevel"/>
    <w:lvl w:ilvl="0" w15:tentative="1">
      <w:start w:val="1"/>
      <w:numFmt w:val="decimal"/>
      <w:lvlText w:val="%1."/>
      <w:lvlJc w:val="left"/>
      <w:pPr>
        <w:ind w:left="380" w:hanging="300"/>
      </w:pPr>
      <w:rPr>
        <w:b/>
        <w:bCs/>
        <w:color w:val="0C1129"/>
      </w:rPr>
    </w:lvl>
  </w:abstractNum>
  <w:abstractNum w:abstractNumId="15" w15:restartNumberingAfterBreak="0">
    <w:multiLevelType w:val="hybridMultilevel"/>
    <w:lvl w:ilvl="0" w15:tentative="1">
      <w:start w:val="1"/>
      <w:numFmt w:val="decimal"/>
      <w:lvlText w:val="%1."/>
      <w:lvlJc w:val="left"/>
      <w:pPr>
        <w:ind w:left="380" w:hanging="300"/>
      </w:pPr>
      <w:rPr>
        <w:b/>
        <w:bCs/>
        <w:color w:val="0C1129"/>
      </w:rPr>
    </w:lvl>
  </w:abstractNum>
  <w:abstractNum w:abstractNumId="16" w15:restartNumberingAfterBreak="0">
    <w:multiLevelType w:val="hybridMultilevel"/>
    <w:lvl w:ilvl="0" w15:tentative="1">
      <w:start w:val="1"/>
      <w:numFmt w:val="decimal"/>
      <w:lvlText w:val="%1."/>
      <w:lvlJc w:val="left"/>
      <w:pPr>
        <w:ind w:left="380" w:hanging="300"/>
      </w:pPr>
      <w:rPr>
        <w:b/>
        <w:bCs/>
        <w:color w:val="0C1129"/>
      </w:rPr>
    </w:lvl>
  </w:abstractNum>
  <w:abstractNum w:abstractNumId="17" w15:restartNumberingAfterBreak="0">
    <w:multiLevelType w:val="hybridMultilevel"/>
    <w:lvl w:ilvl="0" w15:tentative="1">
      <w:start w:val="1"/>
      <w:numFmt w:val="decimal"/>
      <w:lvlText w:val="%1."/>
      <w:lvlJc w:val="left"/>
      <w:pPr>
        <w:ind w:left="380" w:hanging="300"/>
      </w:pPr>
      <w:rPr>
        <w:b/>
        <w:bCs/>
        <w:color w:val="0C1129"/>
      </w:rPr>
    </w:lvl>
  </w:abstractNum>
  <w:abstractNum w:abstractNumId="18" w15:restartNumberingAfterBreak="0">
    <w:multiLevelType w:val="hybridMultilevel"/>
    <w:lvl w:ilvl="0" w15:tentative="1">
      <w:start w:val="1"/>
      <w:numFmt w:val="decimal"/>
      <w:lvlText w:val="%1."/>
      <w:lvlJc w:val="left"/>
      <w:pPr>
        <w:ind w:left="380" w:hanging="300"/>
      </w:pPr>
      <w:rPr>
        <w:b/>
        <w:bCs/>
        <w:color w:val="0C1129"/>
      </w:rPr>
    </w:lvl>
  </w:abstractNum>
  <w:abstractNum w:abstractNumId="19" w15:restartNumberingAfterBreak="0">
    <w:multiLevelType w:val="hybridMultilevel"/>
    <w:lvl w:ilvl="0" w15:tentative="1">
      <w:start w:val="1"/>
      <w:numFmt w:val="decimal"/>
      <w:lvlText w:val="%1."/>
      <w:lvlJc w:val="left"/>
      <w:pPr>
        <w:ind w:left="380" w:hanging="300"/>
      </w:pPr>
      <w:rPr>
        <w:b/>
        <w:bCs/>
        <w:color w:val="0C1129"/>
      </w:rPr>
    </w:lvl>
  </w:abstractNum>
  <w:abstractNum w:abstractNumId="20" w15:restartNumberingAfterBreak="0">
    <w:multiLevelType w:val="hybridMultilevel"/>
    <w:lvl w:ilvl="0" w15:tentative="1">
      <w:start w:val="1"/>
      <w:numFmt w:val="decimal"/>
      <w:lvlText w:val="%1."/>
      <w:lvlJc w:val="left"/>
      <w:pPr>
        <w:ind w:left="380" w:hanging="300"/>
      </w:pPr>
      <w:rPr>
        <w:b/>
        <w:bCs/>
        <w:color w:val="0C1129"/>
      </w:rPr>
    </w:lvl>
  </w:abstractNum>
  <w:abstractNum w:abstractNumId="21" w15:restartNumberingAfterBreak="0">
    <w:multiLevelType w:val="hybridMultilevel"/>
    <w:lvl w:ilvl="0" w15:tentative="1">
      <w:start w:val="1"/>
      <w:numFmt w:val="decimal"/>
      <w:lvlText w:val="%1."/>
      <w:lvlJc w:val="left"/>
      <w:pPr>
        <w:ind w:left="380" w:hanging="300"/>
      </w:pPr>
      <w:rPr>
        <w:b/>
        <w:bCs/>
        <w:color w:val="0C1129"/>
      </w:rPr>
    </w:lvl>
  </w:abstractNum>
  <w:abstractNum w:abstractNumId="22" w15:restartNumberingAfterBreak="0">
    <w:multiLevelType w:val="hybridMultilevel"/>
    <w:lvl w:ilvl="0" w15:tentative="1">
      <w:start w:val="1"/>
      <w:numFmt w:val="decimal"/>
      <w:lvlText w:val="%1."/>
      <w:lvlJc w:val="left"/>
      <w:pPr>
        <w:ind w:left="380" w:hanging="300"/>
      </w:pPr>
      <w:rPr>
        <w:b/>
        <w:bCs/>
        <w:color w:val="0C1129"/>
      </w:rPr>
    </w:lvl>
  </w:abstractNum>
  <w:abstractNum w:abstractNumId="23" w15:restartNumberingAfterBreak="0">
    <w:multiLevelType w:val="hybridMultilevel"/>
    <w:lvl w:ilvl="0" w15:tentative="1">
      <w:start w:val="1"/>
      <w:numFmt w:val="decimal"/>
      <w:lvlText w:val="%1."/>
      <w:lvlJc w:val="left"/>
      <w:pPr>
        <w:ind w:left="380" w:hanging="300"/>
      </w:pPr>
      <w:rPr>
        <w:b/>
        <w:bCs/>
        <w:color w:val="0C1129"/>
      </w:rPr>
    </w:lvl>
  </w:abstractNum>
  <w:abstractNum w:abstractNumId="24" w15:restartNumberingAfterBreak="0">
    <w:multiLevelType w:val="hybridMultilevel"/>
    <w:lvl w:ilvl="0" w15:tentative="1">
      <w:start w:val="1"/>
      <w:numFmt w:val="decimal"/>
      <w:lvlText w:val="%1."/>
      <w:lvlJc w:val="left"/>
      <w:pPr>
        <w:ind w:left="380" w:hanging="300"/>
      </w:pPr>
      <w:rPr>
        <w:b/>
        <w:bCs/>
        <w:color w:val="0C1129"/>
      </w:rPr>
    </w:lvl>
  </w:abstractNum>
  <w:abstractNum w:abstractNumId="25" w15:restartNumberingAfterBreak="0">
    <w:multiLevelType w:val="hybridMultilevel"/>
    <w:lvl w:ilvl="0" w15:tentative="1">
      <w:start w:val="1"/>
      <w:numFmt w:val="decimal"/>
      <w:lvlText w:val="%1."/>
      <w:lvlJc w:val="left"/>
      <w:pPr>
        <w:ind w:left="380" w:hanging="300"/>
      </w:pPr>
      <w:rPr>
        <w:b/>
        <w:bCs/>
        <w:color w:val="0C1129"/>
      </w:rPr>
    </w:lvl>
  </w:abstractNum>
  <w:abstractNum w:abstractNumId="26" w15:restartNumberingAfterBreak="0">
    <w:multiLevelType w:val="hybridMultilevel"/>
    <w:lvl w:ilvl="0" w15:tentative="1">
      <w:start w:val="1"/>
      <w:numFmt w:val="decimal"/>
      <w:lvlText w:val="%1."/>
      <w:lvlJc w:val="left"/>
      <w:pPr>
        <w:ind w:left="380" w:hanging="300"/>
      </w:pPr>
      <w:rPr>
        <w:b/>
        <w:bCs/>
        <w:color w:val="0C1129"/>
      </w:rPr>
    </w:lvl>
  </w:abstractNum>
  <w:abstractNum w:abstractNumId="27" w15:restartNumberingAfterBreak="0">
    <w:multiLevelType w:val="hybridMultilevel"/>
    <w:lvl w:ilvl="0" w15:tentative="1">
      <w:start w:val="1"/>
      <w:numFmt w:val="decimal"/>
      <w:lvlText w:val="%1."/>
      <w:lvlJc w:val="left"/>
      <w:pPr>
        <w:ind w:left="380" w:hanging="300"/>
      </w:pPr>
      <w:rPr>
        <w:b/>
        <w:bCs/>
        <w:color w:val="0C1129"/>
      </w:rPr>
    </w:lvl>
  </w:abstractNum>
  <w:abstractNum w:abstractNumId="28" w15:restartNumberingAfterBreak="0">
    <w:multiLevelType w:val="hybridMultilevel"/>
    <w:lvl w:ilvl="0" w15:tentative="1">
      <w:start w:val="1"/>
      <w:numFmt w:val="decimal"/>
      <w:lvlText w:val="%1."/>
      <w:lvlJc w:val="left"/>
      <w:pPr>
        <w:ind w:left="380" w:hanging="300"/>
      </w:pPr>
      <w:rPr>
        <w:b/>
        <w:bCs/>
        <w:color w:val="0C1129"/>
      </w:rPr>
    </w:lvl>
  </w:abstractNum>
  <w:abstractNum w:abstractNumId="29" w15:restartNumberingAfterBreak="0">
    <w:multiLevelType w:val="hybridMultilevel"/>
    <w:lvl w:ilvl="0" w15:tentative="1">
      <w:start w:val="1"/>
      <w:numFmt w:val="decimal"/>
      <w:lvlText w:val="%1."/>
      <w:lvlJc w:val="left"/>
      <w:pPr>
        <w:ind w:left="380" w:hanging="300"/>
      </w:pPr>
      <w:rPr>
        <w:b/>
        <w:bCs/>
        <w:color w:val="0C1129"/>
      </w:rPr>
    </w:lvl>
  </w:abstractNum>
  <w:abstractNum w:abstractNumId="30" w15:restartNumberingAfterBreak="0">
    <w:multiLevelType w:val="hybridMultilevel"/>
    <w:lvl w:ilvl="0" w15:tentative="1">
      <w:start w:val="1"/>
      <w:numFmt w:val="decimal"/>
      <w:lvlText w:val="%1."/>
      <w:lvlJc w:val="left"/>
      <w:pPr>
        <w:ind w:left="380" w:hanging="300"/>
      </w:pPr>
      <w:rPr>
        <w:b/>
        <w:bCs/>
        <w:color w:val="0C1129"/>
      </w:rPr>
    </w:lvl>
  </w:abstractNum>
  <w:abstractNum w:abstractNumId="31" w15:restartNumberingAfterBreak="0">
    <w:multiLevelType w:val="hybridMultilevel"/>
    <w:lvl w:ilvl="0" w15:tentative="1">
      <w:start w:val="1"/>
      <w:numFmt w:val="decimal"/>
      <w:lvlText w:val="%1."/>
      <w:lvlJc w:val="left"/>
      <w:pPr>
        <w:ind w:left="380" w:hanging="300"/>
      </w:pPr>
      <w:rPr>
        <w:b/>
        <w:bCs/>
        <w:color w:val="0C1129"/>
      </w:rPr>
    </w:lvl>
  </w:abstractNum>
  <w:abstractNum w:abstractNumId="32" w15:restartNumberingAfterBreak="0">
    <w:multiLevelType w:val="hybridMultilevel"/>
    <w:lvl w:ilvl="0" w15:tentative="1">
      <w:start w:val="1"/>
      <w:numFmt w:val="decimal"/>
      <w:lvlText w:val="%1."/>
      <w:lvlJc w:val="left"/>
      <w:pPr>
        <w:ind w:left="380" w:hanging="300"/>
      </w:pPr>
      <w:rPr>
        <w:b/>
        <w:bCs/>
        <w:color w:val="0C1129"/>
      </w:rPr>
    </w:lvl>
  </w:abstractNum>
  <w:abstractNum w:abstractNumId="33" w15:restartNumberingAfterBreak="0">
    <w:multiLevelType w:val="hybridMultilevel"/>
    <w:lvl w:ilvl="0" w15:tentative="1">
      <w:start w:val="1"/>
      <w:numFmt w:val="decimal"/>
      <w:lvlText w:val="%1."/>
      <w:lvlJc w:val="left"/>
      <w:pPr>
        <w:ind w:left="380" w:hanging="300"/>
      </w:pPr>
      <w:rPr>
        <w:b/>
        <w:bCs/>
        <w:color w:val="0C1129"/>
      </w:rPr>
    </w:lvl>
  </w:abstractNum>
  <w:abstractNum w:abstractNumId="34" w15:restartNumberingAfterBreak="0">
    <w:multiLevelType w:val="hybridMultilevel"/>
    <w:lvl w:ilvl="0" w15:tentative="1">
      <w:start w:val="1"/>
      <w:numFmt w:val="decimal"/>
      <w:lvlText w:val="%1."/>
      <w:lvlJc w:val="left"/>
      <w:pPr>
        <w:ind w:left="380" w:hanging="300"/>
      </w:pPr>
      <w:rPr>
        <w:b/>
        <w:bCs/>
        <w:color w:val="0C1129"/>
      </w:rPr>
    </w:lvl>
  </w:abstractNum>
  <w:abstractNum w:abstractNumId="35" w15:restartNumberingAfterBreak="0">
    <w:multiLevelType w:val="hybridMultilevel"/>
    <w:lvl w:ilvl="0" w15:tentative="1">
      <w:start w:val="1"/>
      <w:numFmt w:val="decimal"/>
      <w:lvlText w:val="%1."/>
      <w:lvlJc w:val="left"/>
      <w:pPr>
        <w:ind w:left="380" w:hanging="300"/>
      </w:pPr>
      <w:rPr>
        <w:b/>
        <w:bCs/>
        <w:color w:val="0C1129"/>
      </w:rPr>
    </w:lvl>
  </w:abstractNum>
  <w:abstractNum w:abstractNumId="36" w15:restartNumberingAfterBreak="0">
    <w:multiLevelType w:val="hybridMultilevel"/>
    <w:lvl w:ilvl="0" w15:tentative="1">
      <w:start w:val="1"/>
      <w:numFmt w:val="decimal"/>
      <w:lvlText w:val="%1."/>
      <w:lvlJc w:val="left"/>
      <w:pPr>
        <w:ind w:left="380" w:hanging="300"/>
      </w:pPr>
      <w:rPr>
        <w:b/>
        <w:bCs/>
        <w:color w:val="0C1129"/>
      </w:rPr>
    </w:lvl>
  </w:abstractNum>
  <w:abstractNum w:abstractNumId="37" w15:restartNumberingAfterBreak="0">
    <w:multiLevelType w:val="hybridMultilevel"/>
    <w:lvl w:ilvl="0" w15:tentative="1">
      <w:start w:val="1"/>
      <w:numFmt w:val="decimal"/>
      <w:lvlText w:val="%1."/>
      <w:lvlJc w:val="left"/>
      <w:pPr>
        <w:ind w:left="380" w:hanging="300"/>
      </w:pPr>
      <w:rPr>
        <w:b/>
        <w:bCs/>
        <w:color w:val="0C1129"/>
      </w:rPr>
    </w:lvl>
  </w:abstractNum>
  <w:abstractNum w:abstractNumId="38" w15:restartNumberingAfterBreak="0">
    <w:multiLevelType w:val="hybridMultilevel"/>
    <w:lvl w:ilvl="0" w15:tentative="1">
      <w:start w:val="1"/>
      <w:numFmt w:val="decimal"/>
      <w:lvlText w:val="%1."/>
      <w:lvlJc w:val="left"/>
      <w:pPr>
        <w:ind w:left="380" w:hanging="300"/>
      </w:pPr>
      <w:rPr>
        <w:b/>
        <w:bCs/>
        <w:color w:val="0C1129"/>
      </w:rPr>
    </w:lvl>
  </w:abstractNum>
  <w:abstractNum w:abstractNumId="39" w15:restartNumberingAfterBreak="0">
    <w:multiLevelType w:val="hybridMultilevel"/>
    <w:lvl w:ilvl="0" w15:tentative="1">
      <w:start w:val="1"/>
      <w:numFmt w:val="decimal"/>
      <w:lvlText w:val="%1."/>
      <w:lvlJc w:val="left"/>
      <w:pPr>
        <w:ind w:left="380" w:hanging="300"/>
      </w:pPr>
      <w:rPr>
        <w:b/>
        <w:bCs/>
        <w:color w:val="0C1129"/>
      </w:rPr>
    </w:lvl>
  </w:abstractNum>
  <w:abstractNum w:abstractNumId="40" w15:restartNumberingAfterBreak="0">
    <w:multiLevelType w:val="hybridMultilevel"/>
    <w:lvl w:ilvl="0" w15:tentative="1">
      <w:start w:val="1"/>
      <w:numFmt w:val="decimal"/>
      <w:lvlText w:val="%1."/>
      <w:lvlJc w:val="left"/>
      <w:pPr>
        <w:ind w:left="380" w:hanging="300"/>
      </w:pPr>
      <w:rPr>
        <w:b/>
        <w:bCs/>
        <w:color w:val="0C1129"/>
      </w:rPr>
    </w:lvl>
  </w:abstractNum>
  <w:abstractNum w:abstractNumId="41" w15:restartNumberingAfterBreak="0">
    <w:multiLevelType w:val="hybridMultilevel"/>
    <w:lvl w:ilvl="0" w15:tentative="1">
      <w:start w:val="1"/>
      <w:numFmt w:val="decimal"/>
      <w:lvlText w:val="%1."/>
      <w:lvlJc w:val="left"/>
      <w:pPr>
        <w:ind w:left="380" w:hanging="300"/>
      </w:pPr>
      <w:rPr>
        <w:b/>
        <w:bCs/>
        <w:color w:val="0C1129"/>
      </w:rPr>
    </w:lvl>
  </w:abstractNum>
  <w:abstractNum w:abstractNumId="42" w15:restartNumberingAfterBreak="0">
    <w:multiLevelType w:val="hybridMultilevel"/>
    <w:lvl w:ilvl="0" w15:tentative="1">
      <w:start w:val="1"/>
      <w:numFmt w:val="decimal"/>
      <w:lvlText w:val="%1."/>
      <w:lvlJc w:val="left"/>
      <w:pPr>
        <w:ind w:left="380" w:hanging="300"/>
      </w:pPr>
      <w:rPr>
        <w:b/>
        <w:bCs/>
        <w:color w:val="0C1129"/>
      </w:rPr>
    </w:lvl>
  </w:abstractNum>
  <w:abstractNum w:abstractNumId="43" w15:restartNumberingAfterBreak="0">
    <w:multiLevelType w:val="hybridMultilevel"/>
    <w:lvl w:ilvl="0" w15:tentative="1">
      <w:start w:val="1"/>
      <w:numFmt w:val="decimal"/>
      <w:lvlText w:val="%1."/>
      <w:lvlJc w:val="left"/>
      <w:pPr>
        <w:ind w:left="380" w:hanging="300"/>
      </w:pPr>
      <w:rPr>
        <w:b/>
        <w:bCs/>
        <w:color w:val="0C1129"/>
      </w:rPr>
    </w:lvl>
  </w:abstractNum>
  <w:abstractNum w:abstractNumId="44" w15:restartNumberingAfterBreak="0">
    <w:multiLevelType w:val="hybridMultilevel"/>
    <w:lvl w:ilvl="0" w15:tentative="1">
      <w:start w:val="1"/>
      <w:numFmt w:val="decimal"/>
      <w:lvlText w:val="%1."/>
      <w:lvlJc w:val="left"/>
      <w:pPr>
        <w:ind w:left="380" w:hanging="300"/>
      </w:pPr>
      <w:rPr>
        <w:b/>
        <w:bCs/>
        <w:color w:val="0C1129"/>
      </w:rPr>
    </w:lvl>
  </w:abstractNum>
  <w:abstractNum w:abstractNumId="45" w15:restartNumberingAfterBreak="0">
    <w:multiLevelType w:val="hybridMultilevel"/>
    <w:lvl w:ilvl="0" w15:tentative="1">
      <w:start w:val="1"/>
      <w:numFmt w:val="decimal"/>
      <w:lvlText w:val="%1."/>
      <w:lvlJc w:val="left"/>
      <w:pPr>
        <w:ind w:left="380" w:hanging="300"/>
      </w:pPr>
      <w:rPr>
        <w:b/>
        <w:bCs/>
        <w:color w:val="0C1129"/>
      </w:rPr>
    </w:lvl>
  </w:abstractNum>
  <w:abstractNum w:abstractNumId="46" w15:restartNumberingAfterBreak="0">
    <w:multiLevelType w:val="hybridMultilevel"/>
    <w:lvl w:ilvl="0" w15:tentative="1">
      <w:start w:val="1"/>
      <w:numFmt w:val="decimal"/>
      <w:lvlText w:val="%1."/>
      <w:lvlJc w:val="left"/>
      <w:pPr>
        <w:ind w:left="380" w:hanging="300"/>
      </w:pPr>
      <w:rPr>
        <w:b/>
        <w:bCs/>
        <w:color w:val="0C1129"/>
      </w:rPr>
    </w:lvl>
  </w:abstractNum>
  <w:abstractNum w:abstractNumId="47" w15:restartNumberingAfterBreak="0">
    <w:multiLevelType w:val="hybridMultilevel"/>
    <w:lvl w:ilvl="0" w15:tentative="1">
      <w:start w:val="1"/>
      <w:numFmt w:val="decimal"/>
      <w:lvlText w:val="%1."/>
      <w:lvlJc w:val="left"/>
      <w:pPr>
        <w:ind w:left="380" w:hanging="300"/>
      </w:pPr>
      <w:rPr>
        <w:b/>
        <w:bCs/>
        <w:color w:val="0C1129"/>
      </w:rPr>
    </w:lvl>
  </w:abstractNum>
  <w:abstractNum w:abstractNumId="48" w15:restartNumberingAfterBreak="0">
    <w:multiLevelType w:val="hybridMultilevel"/>
    <w:lvl w:ilvl="0" w15:tentative="1">
      <w:start w:val="1"/>
      <w:numFmt w:val="decimal"/>
      <w:lvlText w:val="%1."/>
      <w:lvlJc w:val="left"/>
      <w:pPr>
        <w:ind w:left="380" w:hanging="300"/>
      </w:pPr>
      <w:rPr>
        <w:b/>
        <w:bCs/>
        <w:color w:val="0C1129"/>
      </w:rPr>
    </w:lvl>
  </w:abstractNum>
  <w:abstractNum w:abstractNumId="49" w15:restartNumberingAfterBreak="0">
    <w:multiLevelType w:val="hybridMultilevel"/>
    <w:lvl w:ilvl="0" w15:tentative="1">
      <w:start w:val="1"/>
      <w:numFmt w:val="decimal"/>
      <w:lvlText w:val="%1."/>
      <w:lvlJc w:val="left"/>
      <w:pPr>
        <w:ind w:left="380" w:hanging="300"/>
      </w:pPr>
      <w:rPr>
        <w:b/>
        <w:bCs/>
        <w:color w:val="0C1129"/>
      </w:rPr>
    </w:lvl>
  </w:abstractNum>
  <w:abstractNum w:abstractNumId="50" w15:restartNumberingAfterBreak="0">
    <w:multiLevelType w:val="hybridMultilevel"/>
    <w:lvl w:ilvl="0" w15:tentative="1">
      <w:start w:val="1"/>
      <w:numFmt w:val="decimal"/>
      <w:lvlText w:val="%1."/>
      <w:lvlJc w:val="left"/>
      <w:pPr>
        <w:ind w:left="380" w:hanging="300"/>
      </w:pPr>
      <w:rPr>
        <w:b/>
        <w:bCs/>
        <w:color w:val="0C1129"/>
      </w:rPr>
    </w:lvl>
  </w:abstractNum>
  <w:abstractNum w:abstractNumId="51" w15:restartNumberingAfterBreak="0">
    <w:multiLevelType w:val="hybridMultilevel"/>
    <w:lvl w:ilvl="0" w15:tentative="1">
      <w:start w:val="1"/>
      <w:numFmt w:val="decimal"/>
      <w:lvlText w:val="%1."/>
      <w:lvlJc w:val="left"/>
      <w:pPr>
        <w:ind w:left="380" w:hanging="300"/>
      </w:pPr>
      <w:rPr>
        <w:b/>
        <w:bCs/>
        <w:color w:val="0C1129"/>
      </w:rPr>
    </w:lvl>
  </w:abstractNum>
  <w:abstractNum w:abstractNumId="52" w15:restartNumberingAfterBreak="0">
    <w:multiLevelType w:val="hybridMultilevel"/>
    <w:lvl w:ilvl="0" w15:tentative="1">
      <w:start w:val="1"/>
      <w:numFmt w:val="decimal"/>
      <w:lvlText w:val="%1."/>
      <w:lvlJc w:val="left"/>
      <w:pPr>
        <w:ind w:left="380" w:hanging="300"/>
      </w:pPr>
      <w:rPr>
        <w:b/>
        <w:bCs/>
        <w:color w:val="0C1129"/>
      </w:rPr>
    </w:lvl>
  </w:abstractNum>
  <w:abstractNum w:abstractNumId="53" w15:restartNumberingAfterBreak="0">
    <w:multiLevelType w:val="hybridMultilevel"/>
    <w:lvl w:ilvl="0" w15:tentative="1">
      <w:start w:val="1"/>
      <w:numFmt w:val="decimal"/>
      <w:lvlText w:val="%1."/>
      <w:lvlJc w:val="left"/>
      <w:pPr>
        <w:ind w:left="380" w:hanging="300"/>
      </w:pPr>
      <w:rPr>
        <w:b/>
        <w:bCs/>
        <w:color w:val="0C1129"/>
      </w:rPr>
    </w:lvl>
  </w:abstractNum>
  <w:abstractNum w:abstractNumId="54" w15:restartNumberingAfterBreak="0">
    <w:multiLevelType w:val="hybridMultilevel"/>
    <w:lvl w:ilvl="0" w15:tentative="1">
      <w:start w:val="1"/>
      <w:numFmt w:val="decimal"/>
      <w:lvlText w:val="%1."/>
      <w:lvlJc w:val="left"/>
      <w:pPr>
        <w:ind w:left="380" w:hanging="300"/>
      </w:pPr>
      <w:rPr>
        <w:b/>
        <w:bCs/>
        <w:color w:val="0C1129"/>
      </w:rPr>
    </w:lvl>
  </w:abstractNum>
  <w:abstractNum w:abstractNumId="55" w15:restartNumberingAfterBreak="0">
    <w:multiLevelType w:val="hybridMultilevel"/>
    <w:lvl w:ilvl="0" w15:tentative="1">
      <w:start w:val="1"/>
      <w:numFmt w:val="decimal"/>
      <w:lvlText w:val="%1."/>
      <w:lvlJc w:val="left"/>
      <w:pPr>
        <w:ind w:left="380" w:hanging="300"/>
      </w:pPr>
      <w:rPr>
        <w:b/>
        <w:bCs/>
        <w:color w:val="0C1129"/>
      </w:rPr>
    </w:lvl>
  </w:abstractNum>
  <w:abstractNum w:abstractNumId="56" w15:restartNumberingAfterBreak="0">
    <w:multiLevelType w:val="hybridMultilevel"/>
    <w:lvl w:ilvl="0" w15:tentative="1">
      <w:start w:val="1"/>
      <w:numFmt w:val="decimal"/>
      <w:lvlText w:val="%1."/>
      <w:lvlJc w:val="left"/>
      <w:pPr>
        <w:ind w:left="380" w:hanging="300"/>
      </w:pPr>
      <w:rPr>
        <w:b/>
        <w:bCs/>
        <w:color w:val="0C1129"/>
      </w:rPr>
    </w:lvl>
  </w:abstractNum>
  <w:abstractNum w:abstractNumId="57" w15:restartNumberingAfterBreak="0">
    <w:multiLevelType w:val="hybridMultilevel"/>
    <w:lvl w:ilvl="0" w15:tentative="1">
      <w:start w:val="1"/>
      <w:numFmt w:val="decimal"/>
      <w:lvlText w:val="%1."/>
      <w:lvlJc w:val="left"/>
      <w:pPr>
        <w:ind w:left="380" w:hanging="300"/>
      </w:pPr>
      <w:rPr>
        <w:b/>
        <w:bCs/>
        <w:color w:val="0C1129"/>
      </w:rPr>
    </w:lvl>
  </w:abstractNum>
  <w:abstractNum w:abstractNumId="58" w15:restartNumberingAfterBreak="0">
    <w:multiLevelType w:val="hybridMultilevel"/>
    <w:lvl w:ilvl="0" w15:tentative="1">
      <w:start w:val="1"/>
      <w:numFmt w:val="decimal"/>
      <w:lvlText w:val="%1."/>
      <w:lvlJc w:val="left"/>
      <w:pPr>
        <w:ind w:left="380" w:hanging="300"/>
      </w:pPr>
      <w:rPr>
        <w:b/>
        <w:bCs/>
        <w:color w:val="0C1129"/>
      </w:rPr>
    </w:lvl>
  </w:abstractNum>
  <w:abstractNum w:abstractNumId="59" w15:restartNumberingAfterBreak="0">
    <w:multiLevelType w:val="hybridMultilevel"/>
    <w:lvl w:ilvl="0" w15:tentative="1">
      <w:start w:val="1"/>
      <w:numFmt w:val="decimal"/>
      <w:lvlText w:val="%1."/>
      <w:lvlJc w:val="left"/>
      <w:pPr>
        <w:ind w:left="380" w:hanging="300"/>
      </w:pPr>
      <w:rPr>
        <w:b/>
        <w:bCs/>
        <w:color w:val="0C1129"/>
      </w:rPr>
    </w:lvl>
  </w:abstractNum>
  <w:abstractNum w:abstractNumId="60" w15:restartNumberingAfterBreak="0">
    <w:multiLevelType w:val="hybridMultilevel"/>
    <w:lvl w:ilvl="0" w15:tentative="1">
      <w:start w:val="1"/>
      <w:numFmt w:val="decimal"/>
      <w:lvlText w:val="%1."/>
      <w:lvlJc w:val="left"/>
      <w:pPr>
        <w:ind w:left="380" w:hanging="300"/>
      </w:pPr>
      <w:rPr>
        <w:b/>
        <w:bCs/>
        <w:color w:val="0C1129"/>
      </w:rPr>
    </w:lvl>
  </w:abstractNum>
  <w:abstractNum w:abstractNumId="61" w15:restartNumberingAfterBreak="0">
    <w:multiLevelType w:val="hybridMultilevel"/>
    <w:lvl w:ilvl="0" w15:tentative="1">
      <w:start w:val="1"/>
      <w:numFmt w:val="decimal"/>
      <w:lvlText w:val="%1."/>
      <w:lvlJc w:val="left"/>
      <w:pPr>
        <w:ind w:left="380" w:hanging="300"/>
      </w:pPr>
      <w:rPr>
        <w:b/>
        <w:bCs/>
        <w:color w:val="0C1129"/>
      </w:rPr>
    </w:lvl>
  </w:abstractNum>
  <w:abstractNum w:abstractNumId="62" w15:restartNumberingAfterBreak="0">
    <w:multiLevelType w:val="hybridMultilevel"/>
    <w:lvl w:ilvl="0" w15:tentative="1">
      <w:start w:val="1"/>
      <w:numFmt w:val="decimal"/>
      <w:lvlText w:val="%1."/>
      <w:lvlJc w:val="left"/>
      <w:pPr>
        <w:ind w:left="380" w:hanging="300"/>
      </w:pPr>
      <w:rPr>
        <w:b/>
        <w:bCs/>
        <w:color w:val="0C1129"/>
      </w:rPr>
    </w:lvl>
  </w:abstractNum>
  <w:abstractNum w:abstractNumId="63" w15:restartNumberingAfterBreak="0">
    <w:multiLevelType w:val="hybridMultilevel"/>
    <w:lvl w:ilvl="0" w15:tentative="1">
      <w:start w:val="1"/>
      <w:numFmt w:val="decimal"/>
      <w:lvlText w:val="%1."/>
      <w:lvlJc w:val="left"/>
      <w:pPr>
        <w:ind w:left="380" w:hanging="300"/>
      </w:pPr>
      <w:rPr>
        <w:b/>
        <w:bCs/>
        <w:color w:val="0C1129"/>
      </w:rPr>
    </w:lvl>
  </w:abstractNum>
  <w:abstractNum w:abstractNumId="64" w15:restartNumberingAfterBreak="0">
    <w:multiLevelType w:val="hybridMultilevel"/>
    <w:lvl w:ilvl="0" w15:tentative="1">
      <w:start w:val="1"/>
      <w:numFmt w:val="decimal"/>
      <w:lvlText w:val="%1."/>
      <w:lvlJc w:val="left"/>
      <w:pPr>
        <w:ind w:left="380" w:hanging="300"/>
      </w:pPr>
      <w:rPr>
        <w:b/>
        <w:bCs/>
        <w:color w:val="0C1129"/>
      </w:rPr>
    </w:lvl>
  </w:abstractNum>
  <w:abstractNum w:abstractNumId="65" w15:restartNumberingAfterBreak="0">
    <w:multiLevelType w:val="hybridMultilevel"/>
    <w:lvl w:ilvl="0" w15:tentative="1">
      <w:start w:val="1"/>
      <w:numFmt w:val="decimal"/>
      <w:lvlText w:val="%1."/>
      <w:lvlJc w:val="left"/>
      <w:pPr>
        <w:ind w:left="380" w:hanging="300"/>
      </w:pPr>
      <w:rPr>
        <w:b/>
        <w:bCs/>
        <w:color w:val="0C1129"/>
      </w:rPr>
    </w:lvl>
  </w:abstractNum>
  <w:abstractNum w:abstractNumId="66" w15:restartNumberingAfterBreak="0">
    <w:multiLevelType w:val="hybridMultilevel"/>
    <w:lvl w:ilvl="0" w15:tentative="1">
      <w:start w:val="1"/>
      <w:numFmt w:val="decimal"/>
      <w:lvlText w:val="%1."/>
      <w:lvlJc w:val="left"/>
      <w:pPr>
        <w:ind w:left="380" w:hanging="300"/>
      </w:pPr>
      <w:rPr>
        <w:b/>
        <w:bCs/>
        <w:color w:val="0C1129"/>
      </w:rPr>
    </w:lvl>
  </w:abstractNum>
  <w:abstractNum w:abstractNumId="67" w15:restartNumberingAfterBreak="0">
    <w:multiLevelType w:val="hybridMultilevel"/>
    <w:lvl w:ilvl="0" w15:tentative="1">
      <w:start w:val="1"/>
      <w:numFmt w:val="decimal"/>
      <w:lvlText w:val="%1."/>
      <w:lvlJc w:val="left"/>
      <w:pPr>
        <w:ind w:left="380" w:hanging="300"/>
      </w:pPr>
      <w:rPr>
        <w:b/>
        <w:bCs/>
        <w:color w:val="0C1129"/>
      </w:rPr>
    </w:lvl>
  </w:abstractNum>
  <w:abstractNum w:abstractNumId="68" w15:restartNumberingAfterBreak="0">
    <w:multiLevelType w:val="hybridMultilevel"/>
    <w:lvl w:ilvl="0" w15:tentative="1">
      <w:start w:val="1"/>
      <w:numFmt w:val="decimal"/>
      <w:lvlText w:val="%1."/>
      <w:lvlJc w:val="left"/>
      <w:pPr>
        <w:ind w:left="380" w:hanging="300"/>
      </w:pPr>
      <w:rPr>
        <w:b/>
        <w:bCs/>
        <w:color w:val="0C1129"/>
      </w:rPr>
    </w:lvl>
  </w:abstractNum>
  <w:abstractNum w:abstractNumId="69" w15:restartNumberingAfterBreak="0">
    <w:multiLevelType w:val="hybridMultilevel"/>
    <w:lvl w:ilvl="0" w15:tentative="1">
      <w:start w:val="1"/>
      <w:numFmt w:val="decimal"/>
      <w:lvlText w:val="%1."/>
      <w:lvlJc w:val="left"/>
      <w:pPr>
        <w:ind w:left="380" w:hanging="300"/>
      </w:pPr>
      <w:rPr>
        <w:b/>
        <w:bCs/>
        <w:color w:val="0C1129"/>
      </w:rPr>
    </w:lvl>
  </w:abstractNum>
  <w:abstractNum w:abstractNumId="70" w15:restartNumberingAfterBreak="0">
    <w:multiLevelType w:val="hybridMultilevel"/>
    <w:lvl w:ilvl="0" w15:tentative="1">
      <w:start w:val="1"/>
      <w:numFmt w:val="decimal"/>
      <w:lvlText w:val="%1."/>
      <w:lvlJc w:val="left"/>
      <w:pPr>
        <w:ind w:left="380" w:hanging="300"/>
      </w:pPr>
      <w:rPr>
        <w:b/>
        <w:bCs/>
        <w:color w:val="0C1129"/>
      </w:rPr>
    </w:lvl>
  </w:abstractNum>
  <w:abstractNum w:abstractNumId="71" w15:restartNumberingAfterBreak="0">
    <w:multiLevelType w:val="hybridMultilevel"/>
    <w:lvl w:ilvl="0" w15:tentative="1">
      <w:start w:val="1"/>
      <w:numFmt w:val="decimal"/>
      <w:lvlText w:val="%1."/>
      <w:lvlJc w:val="left"/>
      <w:pPr>
        <w:ind w:left="380" w:hanging="300"/>
      </w:pPr>
      <w:rPr>
        <w:b/>
        <w:bCs/>
        <w:color w:val="0C1129"/>
      </w:rPr>
    </w:lvl>
  </w:abstractNum>
  <w:abstractNum w:abstractNumId="72" w15:restartNumberingAfterBreak="0">
    <w:multiLevelType w:val="hybridMultilevel"/>
    <w:lvl w:ilvl="0" w15:tentative="1">
      <w:start w:val="1"/>
      <w:numFmt w:val="decimal"/>
      <w:lvlText w:val="%1."/>
      <w:lvlJc w:val="left"/>
      <w:pPr>
        <w:ind w:left="380" w:hanging="300"/>
      </w:pPr>
      <w:rPr>
        <w:b/>
        <w:bCs/>
        <w:color w:val="0C1129"/>
      </w:rPr>
    </w:lvl>
  </w:abstractNum>
  <w:abstractNum w:abstractNumId="73" w15:restartNumberingAfterBreak="0">
    <w:multiLevelType w:val="hybridMultilevel"/>
    <w:lvl w:ilvl="0" w15:tentative="1">
      <w:start w:val="1"/>
      <w:numFmt w:val="decimal"/>
      <w:lvlText w:val="%1."/>
      <w:lvlJc w:val="left"/>
      <w:pPr>
        <w:ind w:left="380" w:hanging="300"/>
      </w:pPr>
      <w:rPr>
        <w:b/>
        <w:bCs/>
        <w:color w:val="0C1129"/>
      </w:rPr>
    </w:lvl>
  </w:abstractNum>
  <w:abstractNum w:abstractNumId="74" w15:restartNumberingAfterBreak="0">
    <w:multiLevelType w:val="hybridMultilevel"/>
    <w:lvl w:ilvl="0" w15:tentative="1">
      <w:start w:val="1"/>
      <w:numFmt w:val="decimal"/>
      <w:lvlText w:val="%1."/>
      <w:lvlJc w:val="left"/>
      <w:pPr>
        <w:ind w:left="380" w:hanging="300"/>
      </w:pPr>
      <w:rPr>
        <w:b/>
        <w:bCs/>
        <w:color w:val="0C1129"/>
      </w:rPr>
    </w:lvl>
  </w:abstractNum>
  <w:abstractNum w:abstractNumId="75" w15:restartNumberingAfterBreak="0">
    <w:multiLevelType w:val="hybridMultilevel"/>
    <w:lvl w:ilvl="0" w15:tentative="1">
      <w:start w:val="1"/>
      <w:numFmt w:val="decimal"/>
      <w:lvlText w:val="%1."/>
      <w:lvlJc w:val="left"/>
      <w:pPr>
        <w:ind w:left="380" w:hanging="300"/>
      </w:pPr>
      <w:rPr>
        <w:b/>
        <w:bCs/>
        <w:color w:val="0C1129"/>
      </w:rPr>
    </w:lvl>
  </w:abstractNum>
  <w:abstractNum w:abstractNumId="76" w15:restartNumberingAfterBreak="0">
    <w:multiLevelType w:val="hybridMultilevel"/>
    <w:lvl w:ilvl="0" w15:tentative="1">
      <w:start w:val="1"/>
      <w:numFmt w:val="decimal"/>
      <w:lvlText w:val="%1."/>
      <w:lvlJc w:val="left"/>
      <w:pPr>
        <w:ind w:left="380" w:hanging="300"/>
      </w:pPr>
      <w:rPr>
        <w:b/>
        <w:bCs/>
        <w:color w:val="0C1129"/>
      </w:rPr>
    </w:lvl>
  </w:abstractNum>
  <w:abstractNum w:abstractNumId="77" w15:restartNumberingAfterBreak="0">
    <w:multiLevelType w:val="hybridMultilevel"/>
    <w:lvl w:ilvl="0" w15:tentative="1">
      <w:start w:val="1"/>
      <w:numFmt w:val="decimal"/>
      <w:lvlText w:val="%1."/>
      <w:lvlJc w:val="left"/>
      <w:pPr>
        <w:ind w:left="380" w:hanging="300"/>
      </w:pPr>
      <w:rPr>
        <w:b/>
        <w:bCs/>
        <w:color w:val="0C1129"/>
      </w:rPr>
    </w:lvl>
  </w:abstractNum>
  <w:abstractNum w:abstractNumId="78" w15:restartNumberingAfterBreak="0">
    <w:multiLevelType w:val="hybridMultilevel"/>
    <w:lvl w:ilvl="0" w15:tentative="1">
      <w:start w:val="1"/>
      <w:numFmt w:val="decimal"/>
      <w:lvlText w:val="%1."/>
      <w:lvlJc w:val="left"/>
      <w:pPr>
        <w:ind w:left="380" w:hanging="300"/>
      </w:pPr>
      <w:rPr>
        <w:b/>
        <w:bCs/>
        <w:color w:val="0C1129"/>
      </w:rPr>
    </w:lvl>
  </w:abstractNum>
  <w:abstractNum w:abstractNumId="79" w15:restartNumberingAfterBreak="0">
    <w:multiLevelType w:val="hybridMultilevel"/>
    <w:lvl w:ilvl="0" w15:tentative="1">
      <w:start w:val="1"/>
      <w:numFmt w:val="decimal"/>
      <w:lvlText w:val="%1."/>
      <w:lvlJc w:val="left"/>
      <w:pPr>
        <w:ind w:left="380" w:hanging="300"/>
      </w:pPr>
      <w:rPr>
        <w:b/>
        <w:bCs/>
        <w:color w:val="0C1129"/>
      </w:rPr>
    </w:lvl>
  </w:abstractNum>
  <w:abstractNum w:abstractNumId="80" w15:restartNumberingAfterBreak="0">
    <w:multiLevelType w:val="hybridMultilevel"/>
    <w:lvl w:ilvl="0" w15:tentative="1">
      <w:start w:val="1"/>
      <w:numFmt w:val="decimal"/>
      <w:lvlText w:val="%1."/>
      <w:lvlJc w:val="left"/>
      <w:pPr>
        <w:ind w:left="380" w:hanging="300"/>
      </w:pPr>
      <w:rPr>
        <w:b/>
        <w:bCs/>
        <w:color w:val="0C1129"/>
      </w:rPr>
    </w:lvl>
  </w:abstractNum>
  <w:abstractNum w:abstractNumId="81" w15:restartNumberingAfterBreak="0">
    <w:multiLevelType w:val="hybridMultilevel"/>
    <w:lvl w:ilvl="0" w15:tentative="1">
      <w:start w:val="1"/>
      <w:numFmt w:val="decimal"/>
      <w:lvlText w:val="%1."/>
      <w:lvlJc w:val="left"/>
      <w:pPr>
        <w:ind w:left="380" w:hanging="300"/>
      </w:pPr>
      <w:rPr>
        <w:b/>
        <w:bCs/>
        <w:color w:val="0C1129"/>
      </w:rPr>
    </w:lvl>
  </w:abstractNum>
  <w:abstractNum w:abstractNumId="82" w15:restartNumberingAfterBreak="0">
    <w:multiLevelType w:val="hybridMultilevel"/>
    <w:lvl w:ilvl="0" w15:tentative="1">
      <w:start w:val="1"/>
      <w:numFmt w:val="decimal"/>
      <w:lvlText w:val="%1."/>
      <w:lvlJc w:val="left"/>
      <w:pPr>
        <w:ind w:left="380" w:hanging="300"/>
      </w:pPr>
      <w:rPr>
        <w:b/>
        <w:bCs/>
        <w:color w:val="0C1129"/>
      </w:rPr>
    </w:lvl>
  </w:abstractNum>
  <w:abstractNum w:abstractNumId="83" w15:restartNumberingAfterBreak="0">
    <w:multiLevelType w:val="hybridMultilevel"/>
    <w:lvl w:ilvl="0" w15:tentative="1">
      <w:start w:val="1"/>
      <w:numFmt w:val="decimal"/>
      <w:lvlText w:val="%1."/>
      <w:lvlJc w:val="left"/>
      <w:pPr>
        <w:ind w:left="380" w:hanging="300"/>
      </w:pPr>
      <w:rPr>
        <w:b/>
        <w:bCs/>
        <w:color w:val="0C1129"/>
      </w:rPr>
    </w:lvl>
  </w:abstractNum>
  <w:abstractNum w:abstractNumId="84" w15:restartNumberingAfterBreak="0">
    <w:multiLevelType w:val="hybridMultilevel"/>
    <w:lvl w:ilvl="0" w15:tentative="1">
      <w:start w:val="1"/>
      <w:numFmt w:val="decimal"/>
      <w:lvlText w:val="%1."/>
      <w:lvlJc w:val="left"/>
      <w:pPr>
        <w:ind w:left="380" w:hanging="300"/>
      </w:pPr>
      <w:rPr>
        <w:b/>
        <w:bCs/>
        <w:color w:val="0C1129"/>
      </w:rPr>
    </w:lvl>
  </w:abstractNum>
  <w:abstractNum w:abstractNumId="85" w15:restartNumberingAfterBreak="0">
    <w:multiLevelType w:val="hybridMultilevel"/>
    <w:lvl w:ilvl="0" w15:tentative="1">
      <w:start w:val="1"/>
      <w:numFmt w:val="decimal"/>
      <w:lvlText w:val="%1."/>
      <w:lvlJc w:val="left"/>
      <w:pPr>
        <w:ind w:left="380" w:hanging="300"/>
      </w:pPr>
      <w:rPr>
        <w:b/>
        <w:bCs/>
        <w:color w:val="0C1129"/>
      </w:rPr>
    </w:lvl>
  </w:abstractNum>
  <w:abstractNum w:abstractNumId="86" w15:restartNumberingAfterBreak="0">
    <w:multiLevelType w:val="hybridMultilevel"/>
    <w:lvl w:ilvl="0" w15:tentative="1">
      <w:start w:val="1"/>
      <w:numFmt w:val="decimal"/>
      <w:lvlText w:val="%1."/>
      <w:lvlJc w:val="left"/>
      <w:pPr>
        <w:ind w:left="380" w:hanging="300"/>
      </w:pPr>
      <w:rPr>
        <w:b/>
        <w:bCs/>
        <w:color w:val="0C1129"/>
      </w:rPr>
    </w:lvl>
  </w:abstractNum>
  <w:abstractNum w:abstractNumId="87" w15:restartNumberingAfterBreak="0">
    <w:multiLevelType w:val="hybridMultilevel"/>
    <w:lvl w:ilvl="0" w15:tentative="1">
      <w:start w:val="1"/>
      <w:numFmt w:val="decimal"/>
      <w:lvlText w:val="%1."/>
      <w:lvlJc w:val="left"/>
      <w:pPr>
        <w:ind w:left="380" w:hanging="300"/>
      </w:pPr>
      <w:rPr>
        <w:b/>
        <w:bCs/>
        <w:color w:val="0C1129"/>
      </w:rPr>
    </w:lvl>
  </w:abstractNum>
  <w:abstractNum w:abstractNumId="88" w15:restartNumberingAfterBreak="0">
    <w:multiLevelType w:val="hybridMultilevel"/>
    <w:lvl w:ilvl="0" w15:tentative="1">
      <w:start w:val="1"/>
      <w:numFmt w:val="decimal"/>
      <w:lvlText w:val="%1."/>
      <w:lvlJc w:val="left"/>
      <w:pPr>
        <w:ind w:left="380" w:hanging="300"/>
      </w:pPr>
      <w:rPr>
        <w:b/>
        <w:bCs/>
        <w:color w:val="0C1129"/>
      </w:rPr>
    </w:lvl>
  </w:abstractNum>
  <w:abstractNum w:abstractNumId="89" w15:restartNumberingAfterBreak="0">
    <w:multiLevelType w:val="hybridMultilevel"/>
    <w:lvl w:ilvl="0" w15:tentative="1">
      <w:start w:val="1"/>
      <w:numFmt w:val="decimal"/>
      <w:lvlText w:val="%1."/>
      <w:lvlJc w:val="left"/>
      <w:pPr>
        <w:ind w:left="380" w:hanging="300"/>
      </w:pPr>
      <w:rPr>
        <w:b/>
        <w:bCs/>
        <w:color w:val="0C1129"/>
      </w:rPr>
    </w:lvl>
  </w:abstractNum>
  <w:abstractNum w:abstractNumId="90" w15:restartNumberingAfterBreak="0">
    <w:multiLevelType w:val="hybridMultilevel"/>
    <w:lvl w:ilvl="0" w15:tentative="1">
      <w:start w:val="1"/>
      <w:numFmt w:val="decimal"/>
      <w:lvlText w:val="%1."/>
      <w:lvlJc w:val="left"/>
      <w:pPr>
        <w:ind w:left="380" w:hanging="300"/>
      </w:pPr>
      <w:rPr>
        <w:b/>
        <w:bCs/>
        <w:color w:val="0C1129"/>
      </w:rPr>
    </w:lvl>
  </w:abstractNum>
  <w:abstractNum w:abstractNumId="91" w15:restartNumberingAfterBreak="0">
    <w:multiLevelType w:val="hybridMultilevel"/>
    <w:lvl w:ilvl="0" w15:tentative="1">
      <w:start w:val="1"/>
      <w:numFmt w:val="decimal"/>
      <w:lvlText w:val="%1."/>
      <w:lvlJc w:val="left"/>
      <w:pPr>
        <w:ind w:left="380" w:hanging="300"/>
      </w:pPr>
      <w:rPr>
        <w:b/>
        <w:bCs/>
        <w:color w:val="0C1129"/>
      </w:rPr>
    </w:lvl>
  </w:abstractNum>
  <w:abstractNum w:abstractNumId="92" w15:restartNumberingAfterBreak="0">
    <w:multiLevelType w:val="hybridMultilevel"/>
    <w:lvl w:ilvl="0" w15:tentative="1">
      <w:start w:val="1"/>
      <w:numFmt w:val="decimal"/>
      <w:lvlText w:val="%1."/>
      <w:lvlJc w:val="left"/>
      <w:pPr>
        <w:ind w:left="380" w:hanging="300"/>
      </w:pPr>
      <w:rPr>
        <w:b/>
        <w:bCs/>
        <w:color w:val="0C1129"/>
      </w:rPr>
    </w:lvl>
  </w:abstractNum>
  <w:abstractNum w:abstractNumId="93" w15:restartNumberingAfterBreak="0">
    <w:multiLevelType w:val="hybridMultilevel"/>
    <w:lvl w:ilvl="0" w15:tentative="1">
      <w:start w:val="1"/>
      <w:numFmt w:val="decimal"/>
      <w:lvlText w:val="%1."/>
      <w:lvlJc w:val="left"/>
      <w:pPr>
        <w:ind w:left="380" w:hanging="300"/>
      </w:pPr>
      <w:rPr>
        <w:b/>
        <w:bCs/>
        <w:color w:val="0C1129"/>
      </w:rPr>
    </w:lvl>
  </w:abstractNum>
  <w:abstractNum w:abstractNumId="94" w15:restartNumberingAfterBreak="0">
    <w:multiLevelType w:val="hybridMultilevel"/>
    <w:lvl w:ilvl="0" w15:tentative="1">
      <w:start w:val="1"/>
      <w:numFmt w:val="decimal"/>
      <w:lvlText w:val="%1."/>
      <w:lvlJc w:val="left"/>
      <w:pPr>
        <w:ind w:left="380" w:hanging="300"/>
      </w:pPr>
      <w:rPr>
        <w:b/>
        <w:bCs/>
        <w:color w:val="0C1129"/>
      </w:rPr>
    </w:lvl>
  </w:abstractNum>
  <w:abstractNum w:abstractNumId="95" w15:restartNumberingAfterBreak="0">
    <w:multiLevelType w:val="hybridMultilevel"/>
    <w:lvl w:ilvl="0" w15:tentative="1">
      <w:start w:val="1"/>
      <w:numFmt w:val="decimal"/>
      <w:lvlText w:val="%1."/>
      <w:lvlJc w:val="left"/>
      <w:pPr>
        <w:ind w:left="380" w:hanging="300"/>
      </w:pPr>
      <w:rPr>
        <w:b/>
        <w:bCs/>
        <w:color w:val="0C1129"/>
      </w:rPr>
    </w:lvl>
  </w:abstractNum>
  <w:abstractNum w:abstractNumId="96" w15:restartNumberingAfterBreak="0">
    <w:multiLevelType w:val="hybridMultilevel"/>
    <w:lvl w:ilvl="0" w15:tentative="1">
      <w:start w:val="1"/>
      <w:numFmt w:val="decimal"/>
      <w:lvlText w:val="%1."/>
      <w:lvlJc w:val="left"/>
      <w:pPr>
        <w:ind w:left="380" w:hanging="300"/>
      </w:pPr>
      <w:rPr>
        <w:b/>
        <w:bCs/>
        <w:color w:val="0C1129"/>
      </w:rPr>
    </w:lvl>
  </w:abstractNum>
  <w:abstractNum w:abstractNumId="97" w15:restartNumberingAfterBreak="0">
    <w:multiLevelType w:val="hybridMultilevel"/>
    <w:lvl w:ilvl="0" w15:tentative="1">
      <w:start w:val="1"/>
      <w:numFmt w:val="decimal"/>
      <w:lvlText w:val="%1."/>
      <w:lvlJc w:val="left"/>
      <w:pPr>
        <w:ind w:left="380" w:hanging="300"/>
      </w:pPr>
      <w:rPr>
        <w:b/>
        <w:bCs/>
        <w:color w:val="0C1129"/>
      </w:rPr>
    </w:lvl>
  </w:abstractNum>
  <w:abstractNum w:abstractNumId="98" w15:restartNumberingAfterBreak="0">
    <w:multiLevelType w:val="hybridMultilevel"/>
    <w:lvl w:ilvl="0" w15:tentative="1">
      <w:start w:val="1"/>
      <w:numFmt w:val="decimal"/>
      <w:lvlText w:val="%1."/>
      <w:lvlJc w:val="left"/>
      <w:pPr>
        <w:ind w:left="380" w:hanging="300"/>
      </w:pPr>
      <w:rPr>
        <w:b/>
        <w:bCs/>
        <w:color w:val="0C1129"/>
      </w:rPr>
    </w:lvl>
  </w:abstractNum>
  <w:abstractNum w:abstractNumId="99" w15:restartNumberingAfterBreak="0">
    <w:multiLevelType w:val="hybridMultilevel"/>
    <w:lvl w:ilvl="0" w15:tentative="1">
      <w:start w:val="1"/>
      <w:numFmt w:val="decimal"/>
      <w:lvlText w:val="%1."/>
      <w:lvlJc w:val="left"/>
      <w:pPr>
        <w:ind w:left="380" w:hanging="300"/>
      </w:pPr>
      <w:rPr>
        <w:b/>
        <w:bCs/>
        <w:color w:val="0C1129"/>
      </w:rPr>
    </w:lvl>
  </w:abstractNum>
  <w:abstractNum w:abstractNumId="100" w15:restartNumberingAfterBreak="0">
    <w:multiLevelType w:val="hybridMultilevel"/>
    <w:lvl w:ilvl="0" w15:tentative="1">
      <w:start w:val="1"/>
      <w:numFmt w:val="decimal"/>
      <w:lvlText w:val="%1."/>
      <w:lvlJc w:val="left"/>
      <w:pPr>
        <w:ind w:left="380" w:hanging="300"/>
      </w:pPr>
      <w:rPr>
        <w:b/>
        <w:bCs/>
        <w:color w:val="0C1129"/>
      </w:rPr>
    </w:lvl>
  </w:abstractNum>
  <w:abstractNum w:abstractNumId="101" w15:restartNumberingAfterBreak="0">
    <w:multiLevelType w:val="hybridMultilevel"/>
    <w:lvl w:ilvl="0" w15:tentative="1">
      <w:start w:val="1"/>
      <w:numFmt w:val="decimal"/>
      <w:lvlText w:val="%1."/>
      <w:lvlJc w:val="left"/>
      <w:pPr>
        <w:ind w:left="380" w:hanging="300"/>
      </w:pPr>
      <w:rPr>
        <w:b/>
        <w:bCs/>
        <w:color w:val="0C1129"/>
      </w:rPr>
    </w:lvl>
  </w:abstractNum>
  <w:abstractNum w:abstractNumId="102" w15:restartNumberingAfterBreak="0">
    <w:multiLevelType w:val="hybridMultilevel"/>
    <w:lvl w:ilvl="0" w15:tentative="1">
      <w:start w:val="1"/>
      <w:numFmt w:val="decimal"/>
      <w:lvlText w:val="%1."/>
      <w:lvlJc w:val="left"/>
      <w:pPr>
        <w:ind w:left="380" w:hanging="300"/>
      </w:pPr>
      <w:rPr>
        <w:b/>
        <w:bCs/>
        <w:color w:val="0C1129"/>
      </w:rPr>
    </w:lvl>
  </w:abstractNum>
  <w:abstractNum w:abstractNumId="103" w15:restartNumberingAfterBreak="0">
    <w:multiLevelType w:val="hybridMultilevel"/>
    <w:lvl w:ilvl="0" w15:tentative="1">
      <w:start w:val="1"/>
      <w:numFmt w:val="decimal"/>
      <w:lvlText w:val="%1."/>
      <w:lvlJc w:val="left"/>
      <w:pPr>
        <w:ind w:left="380" w:hanging="300"/>
      </w:pPr>
      <w:rPr>
        <w:b/>
        <w:bCs/>
        <w:color w:val="0C1129"/>
      </w:rPr>
    </w:lvl>
  </w:abstractNum>
  <w:abstractNum w:abstractNumId="104" w15:restartNumberingAfterBreak="0">
    <w:multiLevelType w:val="hybridMultilevel"/>
    <w:lvl w:ilvl="0" w15:tentative="1">
      <w:start w:val="1"/>
      <w:numFmt w:val="decimal"/>
      <w:lvlText w:val="%1."/>
      <w:lvlJc w:val="left"/>
      <w:pPr>
        <w:ind w:left="380" w:hanging="300"/>
      </w:pPr>
      <w:rPr>
        <w:b/>
        <w:bCs/>
        <w:color w:val="0C1129"/>
      </w:rPr>
    </w:lvl>
  </w:abstractNum>
  <w:abstractNum w:abstractNumId="105" w15:restartNumberingAfterBreak="0">
    <w:multiLevelType w:val="hybridMultilevel"/>
    <w:lvl w:ilvl="0" w15:tentative="1">
      <w:start w:val="1"/>
      <w:numFmt w:val="decimal"/>
      <w:lvlText w:val="%1."/>
      <w:lvlJc w:val="left"/>
      <w:pPr>
        <w:ind w:left="380" w:hanging="300"/>
      </w:pPr>
      <w:rPr>
        <w:b/>
        <w:bCs/>
        <w:color w:val="0C1129"/>
      </w:rPr>
    </w:lvl>
  </w:abstractNum>
  <w:abstractNum w:abstractNumId="106" w15:restartNumberingAfterBreak="0">
    <w:multiLevelType w:val="hybridMultilevel"/>
    <w:lvl w:ilvl="0" w15:tentative="1">
      <w:start w:val="1"/>
      <w:numFmt w:val="decimal"/>
      <w:lvlText w:val="%1."/>
      <w:lvlJc w:val="left"/>
      <w:pPr>
        <w:ind w:left="380" w:hanging="300"/>
      </w:pPr>
      <w:rPr>
        <w:b/>
        <w:bCs/>
        <w:color w:val="0C1129"/>
      </w:rPr>
    </w:lvl>
  </w:abstractNum>
  <w:abstractNum w:abstractNumId="107" w15:restartNumberingAfterBreak="0">
    <w:multiLevelType w:val="hybridMultilevel"/>
    <w:lvl w:ilvl="0" w15:tentative="1">
      <w:start w:val="1"/>
      <w:numFmt w:val="decimal"/>
      <w:lvlText w:val="%1."/>
      <w:lvlJc w:val="left"/>
      <w:pPr>
        <w:ind w:left="380" w:hanging="300"/>
      </w:pPr>
      <w:rPr>
        <w:b/>
        <w:bCs/>
        <w:color w:val="0C1129"/>
      </w:rPr>
    </w:lvl>
  </w:abstractNum>
  <w:abstractNum w:abstractNumId="108" w15:restartNumberingAfterBreak="0">
    <w:multiLevelType w:val="hybridMultilevel"/>
    <w:lvl w:ilvl="0" w15:tentative="1">
      <w:start w:val="1"/>
      <w:numFmt w:val="decimal"/>
      <w:lvlText w:val="%1."/>
      <w:lvlJc w:val="left"/>
      <w:pPr>
        <w:ind w:left="380" w:hanging="300"/>
      </w:pPr>
      <w:rPr>
        <w:b/>
        <w:bCs/>
        <w:color w:val="0C1129"/>
      </w:rPr>
    </w:lvl>
  </w:abstractNum>
  <w:abstractNum w:abstractNumId="109" w15:restartNumberingAfterBreak="0">
    <w:multiLevelType w:val="hybridMultilevel"/>
    <w:lvl w:ilvl="0" w15:tentative="1">
      <w:start w:val="1"/>
      <w:numFmt w:val="decimal"/>
      <w:lvlText w:val="%1."/>
      <w:lvlJc w:val="left"/>
      <w:pPr>
        <w:ind w:left="380" w:hanging="300"/>
      </w:pPr>
      <w:rPr>
        <w:b/>
        <w:bCs/>
        <w:color w:val="0C1129"/>
      </w:rPr>
    </w:lvl>
  </w:abstractNum>
  <w:abstractNum w:abstractNumId="110" w15:restartNumberingAfterBreak="0">
    <w:multiLevelType w:val="hybridMultilevel"/>
    <w:lvl w:ilvl="0" w15:tentative="1">
      <w:start w:val="1"/>
      <w:numFmt w:val="decimal"/>
      <w:lvlText w:val="%1."/>
      <w:lvlJc w:val="left"/>
      <w:pPr>
        <w:ind w:left="380" w:hanging="300"/>
      </w:pPr>
      <w:rPr>
        <w:b/>
        <w:bCs/>
        <w:color w:val="0C1129"/>
      </w:rPr>
    </w:lvl>
  </w:abstractNum>
  <w:abstractNum w:abstractNumId="111" w15:restartNumberingAfterBreak="0">
    <w:multiLevelType w:val="hybridMultilevel"/>
    <w:lvl w:ilvl="0" w15:tentative="1">
      <w:start w:val="1"/>
      <w:numFmt w:val="decimal"/>
      <w:lvlText w:val="%1."/>
      <w:lvlJc w:val="left"/>
      <w:pPr>
        <w:ind w:left="380" w:hanging="300"/>
      </w:pPr>
      <w:rPr>
        <w:b/>
        <w:bCs/>
        <w:color w:val="0C1129"/>
      </w:rPr>
    </w:lvl>
  </w:abstractNum>
  <w:abstractNum w:abstractNumId="112" w15:restartNumberingAfterBreak="0">
    <w:multiLevelType w:val="hybridMultilevel"/>
    <w:lvl w:ilvl="0" w15:tentative="1">
      <w:start w:val="1"/>
      <w:numFmt w:val="decimal"/>
      <w:lvlText w:val="%1."/>
      <w:lvlJc w:val="left"/>
      <w:pPr>
        <w:ind w:left="380" w:hanging="300"/>
      </w:pPr>
      <w:rPr>
        <w:b/>
        <w:bCs/>
        <w:color w:val="0C1129"/>
      </w:rPr>
    </w:lvl>
  </w:abstractNum>
  <w:abstractNum w:abstractNumId="113" w15:restartNumberingAfterBreak="0">
    <w:multiLevelType w:val="hybridMultilevel"/>
    <w:lvl w:ilvl="0" w15:tentative="1">
      <w:start w:val="1"/>
      <w:numFmt w:val="decimal"/>
      <w:lvlText w:val="%1."/>
      <w:lvlJc w:val="left"/>
      <w:pPr>
        <w:ind w:left="380" w:hanging="300"/>
      </w:pPr>
      <w:rPr>
        <w:b/>
        <w:bCs/>
        <w:color w:val="0C1129"/>
      </w:rPr>
    </w:lvl>
  </w:abstractNum>
  <w:abstractNum w:abstractNumId="114" w15:restartNumberingAfterBreak="0">
    <w:multiLevelType w:val="hybridMultilevel"/>
    <w:lvl w:ilvl="0" w15:tentative="1">
      <w:start w:val="1"/>
      <w:numFmt w:val="decimal"/>
      <w:lvlText w:val="%1."/>
      <w:lvlJc w:val="left"/>
      <w:pPr>
        <w:ind w:left="380" w:hanging="300"/>
      </w:pPr>
      <w:rPr>
        <w:b/>
        <w:bCs/>
        <w:color w:val="0C1129"/>
      </w:rPr>
    </w:lvl>
  </w:abstractNum>
  <w:abstractNum w:abstractNumId="115" w15:restartNumberingAfterBreak="0">
    <w:multiLevelType w:val="hybridMultilevel"/>
    <w:lvl w:ilvl="0" w15:tentative="1">
      <w:start w:val="1"/>
      <w:numFmt w:val="decimal"/>
      <w:lvlText w:val="%1."/>
      <w:lvlJc w:val="left"/>
      <w:pPr>
        <w:ind w:left="380" w:hanging="300"/>
      </w:pPr>
      <w:rPr>
        <w:b/>
        <w:bCs/>
        <w:color w:val="0C1129"/>
      </w:rPr>
    </w:lvl>
  </w:abstractNum>
  <w:abstractNum w:abstractNumId="116" w15:restartNumberingAfterBreak="0">
    <w:multiLevelType w:val="hybridMultilevel"/>
    <w:lvl w:ilvl="0" w15:tentative="1">
      <w:start w:val="1"/>
      <w:numFmt w:val="decimal"/>
      <w:lvlText w:val="%1."/>
      <w:lvlJc w:val="left"/>
      <w:pPr>
        <w:ind w:left="380" w:hanging="300"/>
      </w:pPr>
      <w:rPr>
        <w:b/>
        <w:bCs/>
        <w:color w:val="0C1129"/>
      </w:rPr>
    </w:lvl>
  </w:abstractNum>
  <w:abstractNum w:abstractNumId="117" w15:restartNumberingAfterBreak="0">
    <w:multiLevelType w:val="hybridMultilevel"/>
    <w:lvl w:ilvl="0" w15:tentative="1">
      <w:start w:val="1"/>
      <w:numFmt w:val="decimal"/>
      <w:lvlText w:val="%1."/>
      <w:lvlJc w:val="left"/>
      <w:pPr>
        <w:ind w:left="380" w:hanging="300"/>
      </w:pPr>
      <w:rPr>
        <w:b/>
        <w:bCs/>
        <w:color w:val="0C1129"/>
      </w:rPr>
    </w:lvl>
  </w:abstractNum>
  <w:abstractNum w:abstractNumId="118" w15:restartNumberingAfterBreak="0">
    <w:multiLevelType w:val="hybridMultilevel"/>
    <w:lvl w:ilvl="0" w15:tentative="1">
      <w:start w:val="1"/>
      <w:numFmt w:val="decimal"/>
      <w:lvlText w:val="%1."/>
      <w:lvlJc w:val="left"/>
      <w:pPr>
        <w:ind w:left="380" w:hanging="300"/>
      </w:pPr>
      <w:rPr>
        <w:b/>
        <w:bCs/>
        <w:color w:val="0C1129"/>
      </w:rPr>
    </w:lvl>
  </w:abstractNum>
  <w:abstractNum w:abstractNumId="119" w15:restartNumberingAfterBreak="0">
    <w:multiLevelType w:val="hybridMultilevel"/>
    <w:lvl w:ilvl="0" w15:tentative="1">
      <w:start w:val="1"/>
      <w:numFmt w:val="decimal"/>
      <w:lvlText w:val="%1."/>
      <w:lvlJc w:val="left"/>
      <w:pPr>
        <w:ind w:left="380" w:hanging="300"/>
      </w:pPr>
      <w:rPr>
        <w:b/>
        <w:bCs/>
        <w:color w:val="0C1129"/>
      </w:rPr>
    </w:lvl>
  </w:abstractNum>
  <w:abstractNum w:abstractNumId="120" w15:restartNumberingAfterBreak="0">
    <w:multiLevelType w:val="hybridMultilevel"/>
    <w:lvl w:ilvl="0" w15:tentative="1">
      <w:start w:val="1"/>
      <w:numFmt w:val="decimal"/>
      <w:lvlText w:val="%1."/>
      <w:lvlJc w:val="left"/>
      <w:pPr>
        <w:ind w:left="380" w:hanging="300"/>
      </w:pPr>
      <w:rPr>
        <w:b/>
        <w:bCs/>
        <w:color w:val="0C1129"/>
      </w:rPr>
    </w:lvl>
  </w:abstractNum>
  <w:abstractNum w:abstractNumId="121" w15:restartNumberingAfterBreak="0">
    <w:multiLevelType w:val="hybridMultilevel"/>
    <w:lvl w:ilvl="0" w15:tentative="1">
      <w:start w:val="1"/>
      <w:numFmt w:val="decimal"/>
      <w:lvlText w:val="%1."/>
      <w:lvlJc w:val="left"/>
      <w:pPr>
        <w:ind w:left="380" w:hanging="300"/>
      </w:pPr>
      <w:rPr>
        <w:b/>
        <w:bCs/>
        <w:color w:val="0C1129"/>
      </w:rPr>
    </w:lvl>
  </w:abstractNum>
  <w:abstractNum w:abstractNumId="122" w15:restartNumberingAfterBreak="0">
    <w:multiLevelType w:val="hybridMultilevel"/>
    <w:lvl w:ilvl="0" w15:tentative="1">
      <w:start w:val="1"/>
      <w:numFmt w:val="decimal"/>
      <w:lvlText w:val="%1."/>
      <w:lvlJc w:val="left"/>
      <w:pPr>
        <w:ind w:left="380" w:hanging="300"/>
      </w:pPr>
      <w:rPr>
        <w:b/>
        <w:bCs/>
        <w:color w:val="0C1129"/>
      </w:r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0"/>
    <w:lvlOverride w:ilvl="0">
      <w:startOverride w:val="1"/>
    </w:lvlOverride>
  </w:num>
  <w:num w:numId="5">
    <w:abstractNumId w:val="13"/>
    <w:lvlOverride w:ilvl="0">
      <w:startOverride w:val="1"/>
    </w:lvlOverride>
  </w:num>
  <w:num w:numId="6">
    <w:abstractNumId w:val="15"/>
    <w:lvlOverride w:ilvl="0">
      <w:startOverride w:val="1"/>
    </w:lvlOverride>
  </w:num>
  <w:num w:numId="7">
    <w:abstractNumId w:val="20"/>
    <w:lvlOverride w:ilvl="0">
      <w:startOverride w:val="1"/>
    </w:lvlOverride>
  </w:num>
  <w:num w:numId="8">
    <w:abstractNumId w:val="23"/>
    <w:lvlOverride w:ilvl="0">
      <w:startOverride w:val="1"/>
    </w:lvlOverride>
  </w:num>
  <w:num w:numId="9">
    <w:abstractNumId w:val="27"/>
    <w:lvlOverride w:ilvl="0">
      <w:startOverride w:val="1"/>
    </w:lvlOverride>
  </w:num>
  <w:num w:numId="10">
    <w:abstractNumId w:val="31"/>
    <w:lvlOverride w:ilvl="0">
      <w:startOverride w:val="1"/>
    </w:lvlOverride>
  </w:num>
  <w:num w:numId="11">
    <w:abstractNumId w:val="34"/>
    <w:lvlOverride w:ilvl="0">
      <w:startOverride w:val="1"/>
    </w:lvlOverride>
  </w:num>
  <w:num w:numId="12">
    <w:abstractNumId w:val="35"/>
    <w:lvlOverride w:ilvl="0">
      <w:startOverride w:val="1"/>
    </w:lvlOverride>
  </w:num>
  <w:num w:numId="13">
    <w:abstractNumId w:val="37"/>
    <w:lvlOverride w:ilvl="0">
      <w:startOverride w:val="1"/>
    </w:lvlOverride>
  </w:num>
  <w:num w:numId="14">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Lato" w:cs="Lato" w:eastAsia="Lato" w:hAnsi="Lato"/>
      <w:b/>
      <w:bCs/>
      <w:color w:val="0C1129"/>
      <w:sz w:val="30"/>
      <w:szCs w:val="30"/>
    </w:rPr>
  </w:style>
  <w:style w:type="paragraph" w:styleId="Heading2">
    <w:name w:val="Heading 2"/>
    <w:basedOn w:val="Normal"/>
    <w:next w:val="Normal"/>
    <w:qFormat/>
    <w:rPr>
      <w:rFonts w:ascii="Lato" w:cs="Lato" w:eastAsia="Lato" w:hAnsi="Lato"/>
      <w:b/>
      <w:bCs/>
      <w:color w:val="467CEB"/>
      <w:sz w:val="25"/>
      <w:szCs w:val="25"/>
    </w:rPr>
  </w:style>
  <w:style w:type="paragraph" w:styleId="Heading3">
    <w:name w:val="Heading 3"/>
    <w:basedOn w:val="Normal"/>
    <w:next w:val="Normal"/>
    <w:qFormat/>
    <w:rPr>
      <w:rFonts w:ascii="Lato" w:cs="Lato" w:eastAsia="Lato" w:hAnsi="Lato"/>
      <w:b/>
      <w:bCs/>
      <w:color w:val="0C11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GRAC Practice Management — User Guide</dc:title>
  <dc:creator>GRAC Sentinel Pvt Ltd</dc:creator>
  <dc:description>End-to-end user guide for the GRAC Practice Management module</dc:description>
  <cp:lastModifiedBy>Un-named</cp:lastModifiedBy>
  <cp:revision>1</cp:revision>
  <dcterms:created xsi:type="dcterms:W3CDTF">2026-09-20T14:21:52.385Z</dcterms:created>
  <dcterms:modified xsi:type="dcterms:W3CDTF">2026-09-20T14:21:52.385Z</dcterms:modified>
</cp:coreProperties>
</file>

<file path=docProps/custom.xml><?xml version="1.0" encoding="utf-8"?>
<Properties xmlns="http://schemas.openxmlformats.org/officeDocument/2006/custom-properties" xmlns:vt="http://schemas.openxmlformats.org/officeDocument/2006/docPropsVTypes"/>
</file>