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42pdgbasfw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Residential House Analysis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ftyov3h88rh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Preliminary Analysis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the dataset onto Excel to get a birds eye view of the data’s structure. This step is usually meant to confirm that all variables of interest are present after extraction, standardize column names if necessary, get a quick check of any quality issues that might be present. Essentially, this phase acts as a guide to the next steps that will go into the analysis.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1df8i6eahkl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Conceptualization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represents real estate data for residential properties in Melbourne, Australia  where every row represents a single property listing. Each observation captures a property’s structural characteristics such as the number of rooms available and type of property, geographical demographics including population density, pricing details and the real estate agent who executed the sale.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tm741ogi8t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Structural Exploration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Shape - The dataset contains 16 variables and 27,114 listings.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Issues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Type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 - Date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Dates have been encoded as Excel date serial numbers.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42438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 - Distance, Postcode, Bedroom, Bathroom, Car parking space, Land size, Building Area and year built.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Inconsistent formatting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Columns - SellerG, Building Area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We expect the entries of the building area to all be  numbers but there are text values as well such as      ‘inf’ and ‘missing’.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Example: RT, hockistuart, J, McGrath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Non-sensical data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 - Building Area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properties have a building area larger than the land size.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