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4F46F" w14:textId="77777777" w:rsidR="00421B49" w:rsidRPr="00421B49" w:rsidRDefault="00421B49">
      <w:pPr>
        <w:rPr>
          <w:b/>
          <w:u w:val="single"/>
        </w:rPr>
      </w:pPr>
      <w:r w:rsidRPr="00421B49">
        <w:rPr>
          <w:b/>
          <w:u w:val="single"/>
        </w:rPr>
        <w:t>People</w:t>
      </w:r>
    </w:p>
    <w:p w14:paraId="4A424374" w14:textId="77777777" w:rsidR="00421B49" w:rsidRDefault="00421B49"/>
    <w:p w14:paraId="6B22A004" w14:textId="77777777" w:rsidR="00496942" w:rsidRDefault="00421B49">
      <w:r w:rsidRPr="00766EAB">
        <w:rPr>
          <w:b/>
        </w:rPr>
        <w:t>Mark Ransler</w:t>
      </w:r>
      <w:r>
        <w:t xml:space="preserve"> – Cruise Director </w:t>
      </w:r>
    </w:p>
    <w:p w14:paraId="2A61A25B" w14:textId="7737A278" w:rsidR="00421B49" w:rsidRDefault="00421B49">
      <w:r w:rsidRPr="00421B49">
        <w:t xml:space="preserve">Not only is he the founder of Loco </w:t>
      </w:r>
      <w:proofErr w:type="spellStart"/>
      <w:r w:rsidRPr="00421B49">
        <w:t>Rojo</w:t>
      </w:r>
      <w:proofErr w:type="spellEnd"/>
      <w:r w:rsidRPr="00421B49">
        <w:t>, but is a father, skier, and occasional impulse buyer. *hint the vineyard was an action of one of these traits*</w:t>
      </w:r>
    </w:p>
    <w:p w14:paraId="2C60C0AB" w14:textId="77777777" w:rsidR="00A57145" w:rsidRDefault="00A57145">
      <w:bookmarkStart w:id="0" w:name="_GoBack"/>
      <w:bookmarkEnd w:id="0"/>
    </w:p>
    <w:p w14:paraId="3D300B8B" w14:textId="77777777" w:rsidR="00A57145" w:rsidRDefault="00A57145"/>
    <w:p w14:paraId="7E9E3BEC" w14:textId="25165538" w:rsidR="00421B49" w:rsidRDefault="00D43C4C">
      <w:r w:rsidRPr="00766EAB">
        <w:rPr>
          <w:b/>
        </w:rPr>
        <w:t>Bria</w:t>
      </w:r>
      <w:r w:rsidR="00F70CB9" w:rsidRPr="00766EAB">
        <w:rPr>
          <w:b/>
        </w:rPr>
        <w:t>n</w:t>
      </w:r>
      <w:r w:rsidR="00F70CB9">
        <w:t xml:space="preserve"> – Vineyard Manager</w:t>
      </w:r>
    </w:p>
    <w:p w14:paraId="5EBFE886" w14:textId="296A54C0" w:rsidR="008A749C" w:rsidRDefault="00D43C4C">
      <w:r>
        <w:t>Bria</w:t>
      </w:r>
      <w:r w:rsidR="00F70CB9">
        <w:t xml:space="preserve">n </w:t>
      </w:r>
      <w:r w:rsidR="008A749C">
        <w:t>oversees vineyard operations. But, if you ask any expert,</w:t>
      </w:r>
      <w:r w:rsidR="00A36087">
        <w:t xml:space="preserve"> </w:t>
      </w:r>
      <w:r w:rsidR="00BD6BEA">
        <w:t>watching grapes grow is a difficult job when all you want to do is be drinking them. However, Brian perseveres.</w:t>
      </w:r>
    </w:p>
    <w:p w14:paraId="207E500C" w14:textId="0BEBAE8E" w:rsidR="008A749C" w:rsidRDefault="008A749C">
      <w:r w:rsidRPr="00766EAB">
        <w:rPr>
          <w:b/>
        </w:rPr>
        <w:t xml:space="preserve">Rosie </w:t>
      </w:r>
      <w:r>
        <w:t>– Co-Pilot</w:t>
      </w:r>
    </w:p>
    <w:p w14:paraId="39B85ED8" w14:textId="39322D5D" w:rsidR="008A749C" w:rsidRDefault="008A749C">
      <w:r>
        <w:t xml:space="preserve">Like any superhero needs a side-kick, every vineyard owner needs a trusty guard dog. However, Rosie enjoys sleeping more than guarding. Be careful, if you wake the beast, she may ask for belly-rubs. </w:t>
      </w:r>
    </w:p>
    <w:p w14:paraId="3F0EFFCC" w14:textId="77777777" w:rsidR="008A749C" w:rsidRDefault="008A749C"/>
    <w:p w14:paraId="476F94D6" w14:textId="77777777" w:rsidR="00421B49" w:rsidRDefault="00421B49">
      <w:pPr>
        <w:rPr>
          <w:b/>
          <w:u w:val="single"/>
        </w:rPr>
      </w:pPr>
      <w:r w:rsidRPr="00421B49">
        <w:rPr>
          <w:b/>
          <w:u w:val="single"/>
        </w:rPr>
        <w:t>Wines</w:t>
      </w:r>
    </w:p>
    <w:tbl>
      <w:tblPr>
        <w:tblStyle w:val="TableGrid"/>
        <w:tblpPr w:leftFromText="180" w:rightFromText="180" w:vertAnchor="page" w:horzAnchor="margin" w:tblpXSpec="center" w:tblpY="8920"/>
        <w:tblW w:w="9576" w:type="dxa"/>
        <w:tblLook w:val="04A0" w:firstRow="1" w:lastRow="0" w:firstColumn="1" w:lastColumn="0" w:noHBand="0" w:noVBand="1"/>
      </w:tblPr>
      <w:tblGrid>
        <w:gridCol w:w="1141"/>
        <w:gridCol w:w="1007"/>
        <w:gridCol w:w="761"/>
        <w:gridCol w:w="3259"/>
        <w:gridCol w:w="1737"/>
        <w:gridCol w:w="1671"/>
      </w:tblGrid>
      <w:tr w:rsidR="00715AF2" w14:paraId="2B25E28F" w14:textId="77777777" w:rsidTr="00715AF2">
        <w:trPr>
          <w:trHeight w:val="155"/>
        </w:trPr>
        <w:tc>
          <w:tcPr>
            <w:tcW w:w="1141" w:type="dxa"/>
          </w:tcPr>
          <w:p w14:paraId="1EADC16B" w14:textId="77777777" w:rsidR="00715AF2" w:rsidRDefault="00715AF2" w:rsidP="00715AF2">
            <w:r>
              <w:t>Name</w:t>
            </w:r>
          </w:p>
        </w:tc>
        <w:tc>
          <w:tcPr>
            <w:tcW w:w="1007" w:type="dxa"/>
          </w:tcPr>
          <w:p w14:paraId="0AE1DA06" w14:textId="77777777" w:rsidR="00715AF2" w:rsidRDefault="00715AF2" w:rsidP="00715AF2">
            <w:r>
              <w:t>Year</w:t>
            </w:r>
          </w:p>
        </w:tc>
        <w:tc>
          <w:tcPr>
            <w:tcW w:w="761" w:type="dxa"/>
          </w:tcPr>
          <w:p w14:paraId="1575DBD8" w14:textId="77777777" w:rsidR="00715AF2" w:rsidRDefault="00715AF2" w:rsidP="00715AF2">
            <w:r>
              <w:t>Type</w:t>
            </w:r>
          </w:p>
        </w:tc>
        <w:tc>
          <w:tcPr>
            <w:tcW w:w="3259" w:type="dxa"/>
          </w:tcPr>
          <w:p w14:paraId="657FA1C4" w14:textId="77777777" w:rsidR="00715AF2" w:rsidRDefault="00715AF2" w:rsidP="00715AF2">
            <w:r>
              <w:t>Description</w:t>
            </w:r>
          </w:p>
        </w:tc>
        <w:tc>
          <w:tcPr>
            <w:tcW w:w="1737" w:type="dxa"/>
          </w:tcPr>
          <w:p w14:paraId="6C6DD429" w14:textId="77777777" w:rsidR="00715AF2" w:rsidRDefault="00715AF2" w:rsidP="00715AF2">
            <w:r>
              <w:t>Key Words</w:t>
            </w:r>
          </w:p>
        </w:tc>
        <w:tc>
          <w:tcPr>
            <w:tcW w:w="1671" w:type="dxa"/>
          </w:tcPr>
          <w:p w14:paraId="4C7121AE" w14:textId="77777777" w:rsidR="00715AF2" w:rsidRDefault="00715AF2" w:rsidP="00715AF2">
            <w:r>
              <w:t>Alcohol %</w:t>
            </w:r>
          </w:p>
        </w:tc>
      </w:tr>
      <w:tr w:rsidR="00715AF2" w14:paraId="35DCB1E1" w14:textId="77777777" w:rsidTr="00715AF2">
        <w:trPr>
          <w:trHeight w:val="614"/>
        </w:trPr>
        <w:tc>
          <w:tcPr>
            <w:tcW w:w="1141" w:type="dxa"/>
          </w:tcPr>
          <w:p w14:paraId="67715353" w14:textId="6026C578" w:rsidR="00715AF2" w:rsidRDefault="008A749C" w:rsidP="00715AF2">
            <w:r>
              <w:t>Zinfandel</w:t>
            </w:r>
          </w:p>
        </w:tc>
        <w:tc>
          <w:tcPr>
            <w:tcW w:w="1007" w:type="dxa"/>
          </w:tcPr>
          <w:p w14:paraId="01968D05" w14:textId="77777777" w:rsidR="00715AF2" w:rsidRDefault="00715AF2" w:rsidP="00715AF2">
            <w:r>
              <w:t>2014,</w:t>
            </w:r>
          </w:p>
          <w:p w14:paraId="07ACA195" w14:textId="77777777" w:rsidR="00715AF2" w:rsidRDefault="00715AF2" w:rsidP="00715AF2">
            <w:r>
              <w:t>2015, 2016, 2017</w:t>
            </w:r>
          </w:p>
        </w:tc>
        <w:tc>
          <w:tcPr>
            <w:tcW w:w="761" w:type="dxa"/>
          </w:tcPr>
          <w:p w14:paraId="04BF7D6B" w14:textId="77777777" w:rsidR="00715AF2" w:rsidRDefault="00715AF2" w:rsidP="00715AF2">
            <w:r>
              <w:t>Red</w:t>
            </w:r>
          </w:p>
        </w:tc>
        <w:tc>
          <w:tcPr>
            <w:tcW w:w="3259" w:type="dxa"/>
          </w:tcPr>
          <w:p w14:paraId="413B17E6" w14:textId="46418326" w:rsidR="00715AF2" w:rsidRDefault="008A749C" w:rsidP="00715AF2">
            <w:r>
              <w:t>The region is famous for its deep Zin’s, containing a hearty taste</w:t>
            </w:r>
            <w:r w:rsidR="00542206">
              <w:t>, unlike other areas that produce Zinfandels</w:t>
            </w:r>
            <w:r>
              <w:t xml:space="preserve">. The Zinfandel was the first grape to be put into production at Loco </w:t>
            </w:r>
            <w:proofErr w:type="spellStart"/>
            <w:r>
              <w:t>Rojo</w:t>
            </w:r>
            <w:proofErr w:type="spellEnd"/>
            <w:r>
              <w:t xml:space="preserve">. After years of recrafting, it is perfected. </w:t>
            </w:r>
          </w:p>
        </w:tc>
        <w:tc>
          <w:tcPr>
            <w:tcW w:w="1737" w:type="dxa"/>
          </w:tcPr>
          <w:p w14:paraId="1310A039" w14:textId="24CE8898" w:rsidR="00715AF2" w:rsidRDefault="00542206" w:rsidP="00715AF2">
            <w:r>
              <w:t>Acidic, full</w:t>
            </w:r>
            <w:r w:rsidR="007169CA">
              <w:t>-bodied</w:t>
            </w:r>
          </w:p>
        </w:tc>
        <w:tc>
          <w:tcPr>
            <w:tcW w:w="1671" w:type="dxa"/>
          </w:tcPr>
          <w:p w14:paraId="7FDF556A" w14:textId="65FC9442" w:rsidR="00715AF2" w:rsidRDefault="00877504" w:rsidP="00715AF2">
            <w:r>
              <w:t>16</w:t>
            </w:r>
            <w:r w:rsidR="007169CA">
              <w:t>%</w:t>
            </w:r>
          </w:p>
        </w:tc>
      </w:tr>
      <w:tr w:rsidR="00715AF2" w14:paraId="18F361CB" w14:textId="77777777" w:rsidTr="00715AF2">
        <w:trPr>
          <w:trHeight w:val="458"/>
        </w:trPr>
        <w:tc>
          <w:tcPr>
            <w:tcW w:w="1141" w:type="dxa"/>
          </w:tcPr>
          <w:p w14:paraId="6EA0CDA4" w14:textId="39F886E2" w:rsidR="00715AF2" w:rsidRDefault="008A749C" w:rsidP="00715AF2">
            <w:r>
              <w:t>Red Blend</w:t>
            </w:r>
          </w:p>
        </w:tc>
        <w:tc>
          <w:tcPr>
            <w:tcW w:w="1007" w:type="dxa"/>
          </w:tcPr>
          <w:p w14:paraId="29FE02AB" w14:textId="77777777" w:rsidR="00715AF2" w:rsidRDefault="00715AF2" w:rsidP="00715AF2">
            <w:r>
              <w:t>2015, 2016, 2017</w:t>
            </w:r>
          </w:p>
        </w:tc>
        <w:tc>
          <w:tcPr>
            <w:tcW w:w="761" w:type="dxa"/>
          </w:tcPr>
          <w:p w14:paraId="10B917CA" w14:textId="77777777" w:rsidR="00715AF2" w:rsidRDefault="00715AF2" w:rsidP="00715AF2">
            <w:r>
              <w:t>Red</w:t>
            </w:r>
          </w:p>
        </w:tc>
        <w:tc>
          <w:tcPr>
            <w:tcW w:w="3259" w:type="dxa"/>
          </w:tcPr>
          <w:p w14:paraId="27D266AB" w14:textId="070D1D8C" w:rsidR="00542206" w:rsidRDefault="008A749C" w:rsidP="00A36087">
            <w:r>
              <w:t xml:space="preserve">This is the pride and joy of Loco </w:t>
            </w:r>
            <w:proofErr w:type="spellStart"/>
            <w:r>
              <w:t>Rojo</w:t>
            </w:r>
            <w:proofErr w:type="spellEnd"/>
            <w:r w:rsidR="009B5608">
              <w:t xml:space="preserve">. </w:t>
            </w:r>
            <w:r w:rsidR="00A36087">
              <w:t xml:space="preserve">Mark put his signature touch on his final master piece (or he was just messing around with the extra wine). </w:t>
            </w:r>
            <w:r>
              <w:t xml:space="preserve">The softness of the </w:t>
            </w:r>
            <w:r w:rsidR="00542206">
              <w:t xml:space="preserve">Viognier mixed with the wholesomeness of the Zinfandel, mixed with Grenache and </w:t>
            </w:r>
            <w:proofErr w:type="spellStart"/>
            <w:r w:rsidR="00877504">
              <w:t>Mourv</w:t>
            </w:r>
            <w:r w:rsidR="00542206">
              <w:t>edre</w:t>
            </w:r>
            <w:proofErr w:type="spellEnd"/>
            <w:r w:rsidR="00542206">
              <w:t xml:space="preserve">, create a satisfying flavor. </w:t>
            </w:r>
          </w:p>
        </w:tc>
        <w:tc>
          <w:tcPr>
            <w:tcW w:w="1737" w:type="dxa"/>
          </w:tcPr>
          <w:p w14:paraId="4DB97022" w14:textId="301EA4FC" w:rsidR="00715AF2" w:rsidRDefault="00A36087" w:rsidP="00715AF2">
            <w:r>
              <w:t>Up to interpretation</w:t>
            </w:r>
          </w:p>
        </w:tc>
        <w:tc>
          <w:tcPr>
            <w:tcW w:w="1671" w:type="dxa"/>
          </w:tcPr>
          <w:p w14:paraId="5E0FA32A" w14:textId="0D91BB52" w:rsidR="00715AF2" w:rsidRDefault="00877504" w:rsidP="00715AF2">
            <w:r>
              <w:t>14%</w:t>
            </w:r>
          </w:p>
        </w:tc>
      </w:tr>
      <w:tr w:rsidR="00715AF2" w14:paraId="58EC40E9" w14:textId="77777777" w:rsidTr="00715AF2">
        <w:trPr>
          <w:trHeight w:val="311"/>
        </w:trPr>
        <w:tc>
          <w:tcPr>
            <w:tcW w:w="1141" w:type="dxa"/>
          </w:tcPr>
          <w:p w14:paraId="4BFB72ED" w14:textId="75EC073F" w:rsidR="00715AF2" w:rsidRPr="00F70CB9" w:rsidRDefault="00542206" w:rsidP="00715AF2">
            <w:pPr>
              <w:shd w:val="clear" w:color="auto" w:fill="FFFFFF"/>
              <w:spacing w:after="100" w:afterAutospacing="1"/>
              <w:outlineLvl w:val="2"/>
              <w:rPr>
                <w:rFonts w:ascii="Segoe UI" w:eastAsia="Times New Roman" w:hAnsi="Segoe UI" w:cs="Segoe UI"/>
                <w:color w:val="212529"/>
                <w:sz w:val="27"/>
                <w:szCs w:val="27"/>
              </w:rPr>
            </w:pPr>
            <w:r>
              <w:rPr>
                <w:rFonts w:eastAsia="Times New Roman" w:cs="Segoe UI"/>
                <w:color w:val="212529"/>
              </w:rPr>
              <w:t>Viognier</w:t>
            </w:r>
          </w:p>
        </w:tc>
        <w:tc>
          <w:tcPr>
            <w:tcW w:w="1007" w:type="dxa"/>
          </w:tcPr>
          <w:p w14:paraId="0874C132" w14:textId="77777777" w:rsidR="00715AF2" w:rsidRDefault="00715AF2" w:rsidP="00715AF2">
            <w:r>
              <w:t>2016, 2017</w:t>
            </w:r>
          </w:p>
        </w:tc>
        <w:tc>
          <w:tcPr>
            <w:tcW w:w="761" w:type="dxa"/>
          </w:tcPr>
          <w:p w14:paraId="02245F81" w14:textId="77777777" w:rsidR="00715AF2" w:rsidRDefault="00715AF2" w:rsidP="00715AF2">
            <w:r>
              <w:t>White</w:t>
            </w:r>
          </w:p>
        </w:tc>
        <w:tc>
          <w:tcPr>
            <w:tcW w:w="3259" w:type="dxa"/>
          </w:tcPr>
          <w:p w14:paraId="48707E27" w14:textId="1D3FA2EC" w:rsidR="002C31C1" w:rsidRDefault="00E668C2" w:rsidP="00715AF2">
            <w:r>
              <w:t xml:space="preserve">Best served </w:t>
            </w:r>
            <w:r w:rsidR="008A1DB9">
              <w:t xml:space="preserve">cold </w:t>
            </w:r>
            <w:r>
              <w:t>after a long day</w:t>
            </w:r>
            <w:r w:rsidR="008A1DB9">
              <w:t xml:space="preserve"> </w:t>
            </w:r>
            <w:r w:rsidR="002C31C1">
              <w:t>at the vineyard</w:t>
            </w:r>
            <w:r w:rsidR="008A1DB9">
              <w:t xml:space="preserve">. </w:t>
            </w:r>
            <w:r w:rsidR="002C31C1">
              <w:t xml:space="preserve">At Loco </w:t>
            </w:r>
            <w:proofErr w:type="spellStart"/>
            <w:r w:rsidR="002C31C1">
              <w:t>Rojo</w:t>
            </w:r>
            <w:proofErr w:type="spellEnd"/>
            <w:r w:rsidR="002C31C1">
              <w:t xml:space="preserve">, the </w:t>
            </w:r>
            <w:r w:rsidR="002C31C1">
              <w:lastRenderedPageBreak/>
              <w:t xml:space="preserve">Viognier has a stubborn mind. Taking difficulty to the region’s weather, it has finally rooted down, producing a </w:t>
            </w:r>
            <w:r w:rsidR="008A1DB9">
              <w:t>light and fr</w:t>
            </w:r>
            <w:r w:rsidR="009B5608">
              <w:t>uity</w:t>
            </w:r>
            <w:r w:rsidR="002C31C1">
              <w:t xml:space="preserve"> flavor</w:t>
            </w:r>
            <w:r w:rsidR="009B5608">
              <w:t xml:space="preserve">, with a hint of bitterness. </w:t>
            </w:r>
          </w:p>
        </w:tc>
        <w:tc>
          <w:tcPr>
            <w:tcW w:w="1737" w:type="dxa"/>
          </w:tcPr>
          <w:p w14:paraId="1EA4710B" w14:textId="520DFEAF" w:rsidR="00715AF2" w:rsidRDefault="00063C79" w:rsidP="00715AF2">
            <w:r>
              <w:lastRenderedPageBreak/>
              <w:t>Light, fruity</w:t>
            </w:r>
          </w:p>
        </w:tc>
        <w:tc>
          <w:tcPr>
            <w:tcW w:w="1671" w:type="dxa"/>
          </w:tcPr>
          <w:p w14:paraId="2591796E" w14:textId="358FC2B3" w:rsidR="00715AF2" w:rsidRDefault="00877504" w:rsidP="00715AF2">
            <w:r>
              <w:t>14.5%</w:t>
            </w:r>
          </w:p>
        </w:tc>
      </w:tr>
      <w:tr w:rsidR="00715AF2" w14:paraId="1E7340BE" w14:textId="77777777" w:rsidTr="00715AF2">
        <w:trPr>
          <w:trHeight w:val="302"/>
        </w:trPr>
        <w:tc>
          <w:tcPr>
            <w:tcW w:w="1141" w:type="dxa"/>
          </w:tcPr>
          <w:p w14:paraId="7A82FD36" w14:textId="77777777" w:rsidR="00715AF2" w:rsidRDefault="00715AF2" w:rsidP="00715AF2">
            <w:r>
              <w:t>Malbec</w:t>
            </w:r>
          </w:p>
        </w:tc>
        <w:tc>
          <w:tcPr>
            <w:tcW w:w="1007" w:type="dxa"/>
          </w:tcPr>
          <w:p w14:paraId="0E390744" w14:textId="77777777" w:rsidR="00715AF2" w:rsidRDefault="00715AF2" w:rsidP="00715AF2">
            <w:r>
              <w:t>2016, 2017</w:t>
            </w:r>
          </w:p>
        </w:tc>
        <w:tc>
          <w:tcPr>
            <w:tcW w:w="761" w:type="dxa"/>
          </w:tcPr>
          <w:p w14:paraId="3CD87EEA" w14:textId="77777777" w:rsidR="00715AF2" w:rsidRDefault="00715AF2" w:rsidP="00715AF2">
            <w:r>
              <w:t>Red</w:t>
            </w:r>
          </w:p>
        </w:tc>
        <w:tc>
          <w:tcPr>
            <w:tcW w:w="3259" w:type="dxa"/>
          </w:tcPr>
          <w:p w14:paraId="5889AE39" w14:textId="39879389" w:rsidR="00715AF2" w:rsidRDefault="00877504" w:rsidP="00715AF2">
            <w:r>
              <w:t xml:space="preserve">Like the </w:t>
            </w:r>
            <w:proofErr w:type="spellStart"/>
            <w:r>
              <w:t>Mourv</w:t>
            </w:r>
            <w:r w:rsidR="009B5608">
              <w:t>edre</w:t>
            </w:r>
            <w:proofErr w:type="spellEnd"/>
            <w:r w:rsidR="009B5608">
              <w:t>, but add some heat. The French-style wine</w:t>
            </w:r>
            <w:r w:rsidR="002C31C1">
              <w:t xml:space="preserve"> is a crowd pleaser. Although a darker wine, its flavors are loved by all. </w:t>
            </w:r>
            <w:r w:rsidR="009B5608">
              <w:t xml:space="preserve"> </w:t>
            </w:r>
          </w:p>
        </w:tc>
        <w:tc>
          <w:tcPr>
            <w:tcW w:w="1737" w:type="dxa"/>
          </w:tcPr>
          <w:p w14:paraId="34EDAB08" w14:textId="15272005" w:rsidR="00715AF2" w:rsidRDefault="00063C79" w:rsidP="00715AF2">
            <w:r>
              <w:t>dark</w:t>
            </w:r>
          </w:p>
        </w:tc>
        <w:tc>
          <w:tcPr>
            <w:tcW w:w="1671" w:type="dxa"/>
          </w:tcPr>
          <w:p w14:paraId="1CC72215" w14:textId="49F8076E" w:rsidR="00715AF2" w:rsidRDefault="00877504" w:rsidP="00715AF2">
            <w:r>
              <w:t>13.5%</w:t>
            </w:r>
          </w:p>
        </w:tc>
      </w:tr>
      <w:tr w:rsidR="00715AF2" w14:paraId="23CDA3A1" w14:textId="77777777" w:rsidTr="00715AF2">
        <w:trPr>
          <w:trHeight w:val="302"/>
        </w:trPr>
        <w:tc>
          <w:tcPr>
            <w:tcW w:w="1141" w:type="dxa"/>
          </w:tcPr>
          <w:p w14:paraId="46878CF1" w14:textId="77777777" w:rsidR="00715AF2" w:rsidRPr="00F70CB9" w:rsidRDefault="00715AF2" w:rsidP="00715AF2">
            <w:pPr>
              <w:pStyle w:val="Heading3"/>
              <w:shd w:val="clear" w:color="auto" w:fill="FFFFFF"/>
              <w:spacing w:before="0" w:beforeAutospacing="0"/>
              <w:outlineLvl w:val="2"/>
              <w:rPr>
                <w:rFonts w:asciiTheme="minorHAnsi" w:hAnsiTheme="minorHAnsi" w:cs="Segoe UI"/>
                <w:b w:val="0"/>
                <w:bCs w:val="0"/>
                <w:color w:val="212529"/>
                <w:sz w:val="20"/>
                <w:szCs w:val="20"/>
              </w:rPr>
            </w:pPr>
            <w:r w:rsidRPr="00F70CB9">
              <w:rPr>
                <w:rFonts w:asciiTheme="minorHAnsi" w:hAnsiTheme="minorHAnsi" w:cs="Segoe UI"/>
                <w:b w:val="0"/>
                <w:bCs w:val="0"/>
                <w:color w:val="212529"/>
                <w:sz w:val="20"/>
                <w:szCs w:val="20"/>
              </w:rPr>
              <w:t>Grenache Noir</w:t>
            </w:r>
          </w:p>
        </w:tc>
        <w:tc>
          <w:tcPr>
            <w:tcW w:w="1007" w:type="dxa"/>
          </w:tcPr>
          <w:p w14:paraId="5936E42C" w14:textId="77777777" w:rsidR="00715AF2" w:rsidRDefault="00715AF2" w:rsidP="00715AF2">
            <w:r>
              <w:t>2016, 2017</w:t>
            </w:r>
          </w:p>
        </w:tc>
        <w:tc>
          <w:tcPr>
            <w:tcW w:w="761" w:type="dxa"/>
          </w:tcPr>
          <w:p w14:paraId="29DC5808" w14:textId="77777777" w:rsidR="00715AF2" w:rsidRDefault="00715AF2" w:rsidP="00715AF2">
            <w:r>
              <w:t>Red</w:t>
            </w:r>
          </w:p>
        </w:tc>
        <w:tc>
          <w:tcPr>
            <w:tcW w:w="3259" w:type="dxa"/>
          </w:tcPr>
          <w:p w14:paraId="052A01E7" w14:textId="25F35634" w:rsidR="00715AF2" w:rsidRDefault="00002AB6" w:rsidP="00715AF2">
            <w:r>
              <w:t xml:space="preserve">Is a great medium bodied and colored wine, some describe it as ‘soft’. At Loco </w:t>
            </w:r>
            <w:proofErr w:type="spellStart"/>
            <w:r>
              <w:t>Rojo</w:t>
            </w:r>
            <w:proofErr w:type="spellEnd"/>
            <w:r>
              <w:t xml:space="preserve">, ‘soft’ is not regularly used in the vocabulary, but with the Grenache, it is. </w:t>
            </w:r>
          </w:p>
        </w:tc>
        <w:tc>
          <w:tcPr>
            <w:tcW w:w="1737" w:type="dxa"/>
          </w:tcPr>
          <w:p w14:paraId="3797A9F9" w14:textId="5ECEC7AE" w:rsidR="00715AF2" w:rsidRDefault="007169CA" w:rsidP="00715AF2">
            <w:r>
              <w:t>Soft, spicy</w:t>
            </w:r>
          </w:p>
        </w:tc>
        <w:tc>
          <w:tcPr>
            <w:tcW w:w="1671" w:type="dxa"/>
          </w:tcPr>
          <w:p w14:paraId="506091FE" w14:textId="4562DCCB" w:rsidR="00715AF2" w:rsidRDefault="00A36087" w:rsidP="00715AF2">
            <w:r>
              <w:t>13</w:t>
            </w:r>
            <w:r w:rsidR="007169CA">
              <w:t>%</w:t>
            </w:r>
          </w:p>
        </w:tc>
      </w:tr>
      <w:tr w:rsidR="00542206" w14:paraId="28E13C65" w14:textId="77777777" w:rsidTr="00715AF2">
        <w:trPr>
          <w:trHeight w:val="302"/>
        </w:trPr>
        <w:tc>
          <w:tcPr>
            <w:tcW w:w="1141" w:type="dxa"/>
          </w:tcPr>
          <w:p w14:paraId="660FBC97" w14:textId="67155615" w:rsidR="00542206" w:rsidRPr="00F70CB9" w:rsidRDefault="00877504" w:rsidP="00715AF2">
            <w:pPr>
              <w:pStyle w:val="Heading3"/>
              <w:shd w:val="clear" w:color="auto" w:fill="FFFFFF"/>
              <w:spacing w:before="0" w:beforeAutospacing="0"/>
              <w:outlineLvl w:val="2"/>
              <w:rPr>
                <w:rFonts w:asciiTheme="minorHAnsi" w:hAnsiTheme="minorHAnsi" w:cs="Segoe UI"/>
                <w:b w:val="0"/>
                <w:bCs w:val="0"/>
                <w:color w:val="212529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="Segoe UI"/>
                <w:b w:val="0"/>
                <w:bCs w:val="0"/>
                <w:color w:val="212529"/>
                <w:sz w:val="20"/>
                <w:szCs w:val="20"/>
              </w:rPr>
              <w:t>Mourv</w:t>
            </w:r>
            <w:r w:rsidR="00542206">
              <w:rPr>
                <w:rFonts w:asciiTheme="minorHAnsi" w:hAnsiTheme="minorHAnsi" w:cs="Segoe UI"/>
                <w:b w:val="0"/>
                <w:bCs w:val="0"/>
                <w:color w:val="212529"/>
                <w:sz w:val="20"/>
                <w:szCs w:val="20"/>
              </w:rPr>
              <w:t>edre</w:t>
            </w:r>
            <w:proofErr w:type="spellEnd"/>
          </w:p>
        </w:tc>
        <w:tc>
          <w:tcPr>
            <w:tcW w:w="1007" w:type="dxa"/>
          </w:tcPr>
          <w:p w14:paraId="04C2D4A3" w14:textId="554F83A0" w:rsidR="00542206" w:rsidRDefault="00542206" w:rsidP="00715AF2">
            <w:r>
              <w:t>2016, 2017</w:t>
            </w:r>
          </w:p>
        </w:tc>
        <w:tc>
          <w:tcPr>
            <w:tcW w:w="761" w:type="dxa"/>
          </w:tcPr>
          <w:p w14:paraId="41641448" w14:textId="36821849" w:rsidR="00542206" w:rsidRDefault="00542206" w:rsidP="00715AF2">
            <w:r>
              <w:t>Red</w:t>
            </w:r>
          </w:p>
        </w:tc>
        <w:tc>
          <w:tcPr>
            <w:tcW w:w="3259" w:type="dxa"/>
          </w:tcPr>
          <w:p w14:paraId="376AE84C" w14:textId="5A6B7248" w:rsidR="00542206" w:rsidRDefault="00542206" w:rsidP="00715AF2">
            <w:r>
              <w:t xml:space="preserve">A Spanish-style grape that thrives in the Californian sun. Loco </w:t>
            </w:r>
            <w:proofErr w:type="spellStart"/>
            <w:r>
              <w:t>Rojo</w:t>
            </w:r>
            <w:proofErr w:type="spellEnd"/>
            <w:r>
              <w:t xml:space="preserve"> takes this traditional flavor and puts its own twist on it. </w:t>
            </w:r>
          </w:p>
        </w:tc>
        <w:tc>
          <w:tcPr>
            <w:tcW w:w="1737" w:type="dxa"/>
          </w:tcPr>
          <w:p w14:paraId="1B5E72CB" w14:textId="233AD706" w:rsidR="00542206" w:rsidRDefault="00A36087" w:rsidP="00715AF2">
            <w:r>
              <w:t>D</w:t>
            </w:r>
            <w:r w:rsidR="009B5608">
              <w:t>ark</w:t>
            </w:r>
            <w:r>
              <w:t>, full-bodied</w:t>
            </w:r>
          </w:p>
        </w:tc>
        <w:tc>
          <w:tcPr>
            <w:tcW w:w="1671" w:type="dxa"/>
          </w:tcPr>
          <w:p w14:paraId="11669EA8" w14:textId="10865503" w:rsidR="00542206" w:rsidRDefault="00877504" w:rsidP="00715AF2">
            <w:r>
              <w:t>15%</w:t>
            </w:r>
          </w:p>
        </w:tc>
      </w:tr>
    </w:tbl>
    <w:p w14:paraId="230B0F9D" w14:textId="77777777" w:rsidR="00421B49" w:rsidRPr="00421B49" w:rsidRDefault="00421B49"/>
    <w:sectPr w:rsidR="00421B49" w:rsidRPr="0042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B49"/>
    <w:rsid w:val="00002AB6"/>
    <w:rsid w:val="0004514D"/>
    <w:rsid w:val="00063C79"/>
    <w:rsid w:val="000B09B9"/>
    <w:rsid w:val="002C31C1"/>
    <w:rsid w:val="00322965"/>
    <w:rsid w:val="00403CC1"/>
    <w:rsid w:val="00421B49"/>
    <w:rsid w:val="00496942"/>
    <w:rsid w:val="00512A91"/>
    <w:rsid w:val="00542206"/>
    <w:rsid w:val="005F7881"/>
    <w:rsid w:val="00714706"/>
    <w:rsid w:val="00715AF2"/>
    <w:rsid w:val="007169CA"/>
    <w:rsid w:val="00766EAB"/>
    <w:rsid w:val="00877504"/>
    <w:rsid w:val="008A1DB9"/>
    <w:rsid w:val="008A749C"/>
    <w:rsid w:val="008D67DE"/>
    <w:rsid w:val="009962F9"/>
    <w:rsid w:val="009B5608"/>
    <w:rsid w:val="00A36087"/>
    <w:rsid w:val="00A57145"/>
    <w:rsid w:val="00BD6BEA"/>
    <w:rsid w:val="00D43C4C"/>
    <w:rsid w:val="00D455EF"/>
    <w:rsid w:val="00E668C2"/>
    <w:rsid w:val="00F7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C24E"/>
  <w15:chartTrackingRefBased/>
  <w15:docId w15:val="{E56AAE01-5CC7-48BE-9835-B3165B73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0C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70CB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Ransler</dc:creator>
  <cp:keywords/>
  <dc:description/>
  <cp:lastModifiedBy>Lena Ransler</cp:lastModifiedBy>
  <cp:revision>12</cp:revision>
  <dcterms:created xsi:type="dcterms:W3CDTF">2017-10-19T20:39:00Z</dcterms:created>
  <dcterms:modified xsi:type="dcterms:W3CDTF">2017-10-27T01:37:00Z</dcterms:modified>
</cp:coreProperties>
</file>