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w:t>
      </w:r>
      <w:r>
        <w:t xml:space="preserve"> </w:t>
      </w:r>
      <w:r>
        <w:t xml:space="preserve">draft</w:t>
      </w:r>
      <w:r>
        <w:t xml:space="preserve"> </w:t>
      </w:r>
      <w:r>
        <w:t xml:space="preserve">—</w:t>
      </w:r>
      <w:r>
        <w:t xml:space="preserve"> </w:t>
      </w:r>
      <w:r>
        <w:t xml:space="preserve">Reviewer</w:t>
      </w:r>
      <w:r>
        <w:t xml:space="preserve"> </w:t>
      </w:r>
      <w:r>
        <w:t xml:space="preserve">3:</w:t>
      </w:r>
      <w:r>
        <w:t xml:space="preserve"> </w:t>
      </w:r>
      <w:r>
        <w:t xml:space="preserve">country</w:t>
      </w:r>
      <w:r>
        <w:t xml:space="preserve"> </w:t>
      </w:r>
      <w:r>
        <w:t xml:space="preserve">settings</w:t>
      </w:r>
      <w:r>
        <w:t xml:space="preserve"> </w:t>
      </w:r>
      <w:r>
        <w:t xml:space="preserve">and</w:t>
      </w:r>
      <w:r>
        <w:t xml:space="preserve"> </w:t>
      </w:r>
      <w:r>
        <w:t xml:space="preserve">the</w:t>
      </w:r>
      <w:r>
        <w:t xml:space="preserve"> </w:t>
      </w:r>
      <w:r>
        <w:t xml:space="preserve">Chapter</w:t>
      </w:r>
      <w:r>
        <w:t xml:space="preserve"> </w:t>
      </w:r>
      <w:r>
        <w:t xml:space="preserve">7</w:t>
      </w:r>
      <w:r>
        <w:t xml:space="preserve"> </w:t>
      </w:r>
      <w:r>
        <w:t xml:space="preserve">limitation</w:t>
      </w:r>
    </w:p>
    <w:p>
      <w:pPr>
        <w:pStyle w:val="BlockText"/>
      </w:pPr>
      <w:r>
        <w:rPr>
          <w:iCs/>
          <w:i/>
          <w:color w:val="606060"/>
        </w:rPr>
        <w:t xml:space="preserve">Reviewer’s comment (verbatim):</w:t>
      </w:r>
      <w:r>
        <w:rPr>
          <w:iCs/>
          <w:i/>
          <w:color w:val="606060"/>
        </w:rPr>
        <w:t xml:space="preserve"> </w:t>
      </w:r>
      <w:r>
        <w:rPr>
          <w:iCs/>
          <w:i/>
          <w:color w:val="606060"/>
        </w:rPr>
        <w:t xml:space="preserve">“</w:t>
      </w:r>
      <w:r>
        <w:rPr>
          <w:iCs/>
          <w:i/>
          <w:color w:val="606060"/>
        </w:rPr>
        <w:t xml:space="preserve">Section 5.3.2 Data description (p. 133) implies that your thesis implicitly considers China</w:t>
      </w:r>
      <w:r>
        <w:rPr>
          <w:iCs/>
          <w:i/>
          <w:color w:val="606060"/>
        </w:rPr>
        <w:t xml:space="preserve"> </w:t>
      </w:r>
      <w:r>
        <w:rPr>
          <w:iCs/>
          <w:i/>
          <w:color w:val="606060"/>
        </w:rPr>
        <w:t xml:space="preserve">‘</w:t>
      </w:r>
      <w:r>
        <w:rPr>
          <w:iCs/>
          <w:i/>
          <w:color w:val="606060"/>
        </w:rPr>
        <w:t xml:space="preserve">to investigate how technological development in transport infrastructure, with a focus on ports, is in relation to innovation capability, operational productivity, and sustainability across national, organisational and operational levels.</w:t>
      </w:r>
      <w:r>
        <w:rPr>
          <w:iCs/>
          <w:i/>
          <w:color w:val="606060"/>
        </w:rPr>
        <w:t xml:space="preserve">’</w:t>
      </w:r>
      <w:r>
        <w:rPr>
          <w:iCs/>
          <w:i/>
          <w:color w:val="606060"/>
        </w:rPr>
        <w:t xml:space="preserve"> </w:t>
      </w:r>
      <w:r>
        <w:rPr>
          <w:iCs/>
          <w:i/>
          <w:color w:val="606060"/>
        </w:rPr>
        <w:t xml:space="preserve">(p. 21) In this case, your thesis should focus on Chinese government incentives, subsidies, and agencies, etc. when you develop the sound logic of the whole thesis. However, Chapter 6 is concerned with Singapore, not China. The two countries have difference economic system and different polices. Your thesis has considered two countries from different perspective: China for container terminals and Singapore for biofuel issue. In addition, you mentioned in the research limitation (p.193) that</w:t>
      </w:r>
      <w:r>
        <w:rPr>
          <w:iCs/>
          <w:i/>
          <w:color w:val="606060"/>
        </w:rPr>
        <w:t xml:space="preserve"> </w:t>
      </w:r>
      <w:r>
        <w:rPr>
          <w:iCs/>
          <w:i/>
          <w:color w:val="606060"/>
        </w:rPr>
        <w:t xml:space="preserve">‘</w:t>
      </w:r>
      <w:r>
        <w:rPr>
          <w:iCs/>
          <w:i/>
          <w:color w:val="606060"/>
        </w:rPr>
        <w:t xml:space="preserve">First, the macro-level findings in this thesis are derived mainly from European country data and therefore reflect contexts with relatively strong innovation systems, more stable governance structures, and clearer regulatory frameworks.</w:t>
      </w:r>
      <w:r>
        <w:rPr>
          <w:iCs/>
          <w:i/>
          <w:color w:val="606060"/>
        </w:rPr>
        <w:t xml:space="preserve">’</w:t>
      </w:r>
      <w:r>
        <w:rPr>
          <w:iCs/>
          <w:i/>
          <w:color w:val="606060"/>
        </w:rPr>
        <w:t xml:space="preserve"> </w:t>
      </w:r>
      <w:r>
        <w:rPr>
          <w:iCs/>
          <w:i/>
          <w:color w:val="606060"/>
        </w:rPr>
        <w:t xml:space="preserve">This is totally self-contradictory within the same thesis.</w:t>
      </w:r>
      <w:r>
        <w:rPr>
          <w:iCs/>
          <w:i/>
          <w:color w:val="606060"/>
        </w:rPr>
        <w:t xml:space="preserve">”</w:t>
      </w:r>
    </w:p>
    <w:p>
      <w:pPr>
        <w:pStyle w:val="BlockText"/>
      </w:pPr>
      <w:r>
        <w:rPr>
          <w:iCs/>
          <w:i/>
          <w:color w:val="606060"/>
        </w:rPr>
        <w:t xml:space="preserve">Approach. Accept the point about ambiguity and about the poorly phrased limitation, and explain the deliberate multi-context design without being defensive. Most of the design argument is already drafted in file 01 (new Sections 1.2 opening, 1.4 with Table [new-1], and 7.2 with Figure [new-1] and Tables [new-2] to [new-4]). This file adds what file 01 does not cover: (1) a statement of the Chinese setting, with a cross-reference to Section 1.4, at the exact place the reviewer cites (Section 5.3.2); (2) a short account of the Chinese institutional context of container terminals, which partly answers the point about Chinese government incentives and agencies without turning the thesis into a China study; (3) a rewritten limitation paragraph in Section 7.4 (old 7.3) that ties each limitation to its own chapter and context; (4) a few small consistency edits elsewhere; and (5) the response letter.</w:t>
      </w:r>
    </w:p>
    <w:p>
      <w:pPr>
        <w:pStyle w:val="BlockText"/>
      </w:pPr>
      <w:r>
        <w:rPr>
          <w:iCs/>
          <w:i/>
          <w:color w:val="606060"/>
        </w:rPr>
        <w:t xml:space="preserve">Why the reviewer read the thesis as China-focused. Five features of the current text produce this reading. (a) The aim in Section 1.2 (p. 21) names no setting:</w:t>
      </w:r>
      <w:r>
        <w:rPr>
          <w:iCs/>
          <w:i/>
          <w:color w:val="606060"/>
        </w:rPr>
        <w:t xml:space="preserve"> </w:t>
      </w:r>
      <w:r>
        <w:rPr>
          <w:iCs/>
          <w:i/>
          <w:color w:val="606060"/>
        </w:rPr>
        <w:t xml:space="preserve">“</w:t>
      </w:r>
      <w:r>
        <w:rPr>
          <w:iCs/>
          <w:i/>
          <w:color w:val="606060"/>
        </w:rPr>
        <w:t xml:space="preserve">The overall objective of this thesis is to investigate how technological development in transport infrastructure, with a focus on ports, is in relation to innovation capability, operational productivity, and sustainability across national, organisational and operational levels.</w:t>
      </w:r>
      <w:r>
        <w:rPr>
          <w:iCs/>
          <w:i/>
          <w:color w:val="606060"/>
        </w:rPr>
        <w:t xml:space="preserve">”</w:t>
      </w:r>
      <w:r>
        <w:rPr>
          <w:iCs/>
          <w:i/>
          <w:color w:val="606060"/>
        </w:rPr>
        <w:t xml:space="preserve"> </w:t>
      </w:r>
      <w:r>
        <w:rPr>
          <w:iCs/>
          <w:i/>
          <w:color w:val="606060"/>
        </w:rPr>
        <w:t xml:space="preserve">Objectives 2 to 4, the scope (Section 1.3), the thesis structure (Section 1.6) and the Summary also never say that Chapter 4 uses European data or that Chapter 5 uses Chinese data; only the Chapter 6 description mentions</w:t>
      </w:r>
      <w:r>
        <w:rPr>
          <w:iCs/>
          <w:i/>
          <w:color w:val="606060"/>
        </w:rPr>
        <w:t xml:space="preserve"> </w:t>
      </w:r>
      <w:r>
        <w:rPr>
          <w:iCs/>
          <w:i/>
          <w:color w:val="606060"/>
        </w:rPr>
        <w:t xml:space="preserve">“</w:t>
      </w:r>
      <w:r>
        <w:rPr>
          <w:iCs/>
          <w:i/>
          <w:color w:val="606060"/>
        </w:rPr>
        <w:t xml:space="preserve">the port like Singapore</w:t>
      </w:r>
      <w:r>
        <w:rPr>
          <w:iCs/>
          <w:i/>
          <w:color w:val="606060"/>
        </w:rPr>
        <w:t xml:space="preserve">”</w:t>
      </w:r>
      <w:r>
        <w:rPr>
          <w:iCs/>
          <w:i/>
          <w:color w:val="606060"/>
        </w:rPr>
        <w:t xml:space="preserve">. (b) Objective 2 speaks of</w:t>
      </w:r>
      <w:r>
        <w:rPr>
          <w:iCs/>
          <w:i/>
          <w:color w:val="606060"/>
        </w:rPr>
        <w:t xml:space="preserve"> </w:t>
      </w:r>
      <w:r>
        <w:rPr>
          <w:iCs/>
          <w:i/>
          <w:color w:val="606060"/>
        </w:rPr>
        <w:t xml:space="preserve">“</w:t>
      </w:r>
      <w:r>
        <w:rPr>
          <w:iCs/>
          <w:i/>
          <w:color w:val="606060"/>
        </w:rPr>
        <w:t xml:space="preserve">government incentives</w:t>
      </w:r>
      <w:r>
        <w:rPr>
          <w:iCs/>
          <w:i/>
          <w:color w:val="606060"/>
        </w:rPr>
        <w:t xml:space="preserve">”</w:t>
      </w:r>
      <w:r>
        <w:rPr>
          <w:iCs/>
          <w:i/>
          <w:color w:val="606060"/>
        </w:rPr>
        <w:t xml:space="preserve"> </w:t>
      </w:r>
      <w:r>
        <w:rPr>
          <w:iCs/>
          <w:i/>
          <w:color w:val="606060"/>
        </w:rPr>
        <w:t xml:space="preserve">at the</w:t>
      </w:r>
      <w:r>
        <w:rPr>
          <w:iCs/>
          <w:i/>
          <w:color w:val="606060"/>
        </w:rPr>
        <w:t xml:space="preserve"> </w:t>
      </w:r>
      <w:r>
        <w:rPr>
          <w:iCs/>
          <w:i/>
          <w:color w:val="606060"/>
        </w:rPr>
        <w:t xml:space="preserve">“</w:t>
      </w:r>
      <w:r>
        <w:rPr>
          <w:iCs/>
          <w:i/>
          <w:color w:val="606060"/>
        </w:rPr>
        <w:t xml:space="preserve">national level</w:t>
      </w:r>
      <w:r>
        <w:rPr>
          <w:iCs/>
          <w:i/>
          <w:color w:val="606060"/>
        </w:rPr>
        <w:t xml:space="preserve">”</w:t>
      </w:r>
      <w:r>
        <w:rPr>
          <w:iCs/>
          <w:i/>
          <w:color w:val="606060"/>
        </w:rPr>
        <w:t xml:space="preserve"> </w:t>
      </w:r>
      <w:r>
        <w:rPr>
          <w:iCs/>
          <w:i/>
          <w:color w:val="606060"/>
        </w:rPr>
        <w:t xml:space="preserve">without saying which nations, so a reader who later meets Chinese data can assume that the national level is China. (c) In Chapter 5, China appears only as a data source. The introduction says</w:t>
      </w:r>
      <w:r>
        <w:rPr>
          <w:iCs/>
          <w:i/>
          <w:color w:val="606060"/>
        </w:rPr>
        <w:t xml:space="preserve"> </w:t>
      </w:r>
      <w:r>
        <w:rPr>
          <w:iCs/>
          <w:i/>
          <w:color w:val="606060"/>
        </w:rPr>
        <w:t xml:space="preserve">“</w:t>
      </w:r>
      <w:r>
        <w:rPr>
          <w:iCs/>
          <w:i/>
          <w:color w:val="606060"/>
        </w:rPr>
        <w:t xml:space="preserve">across Chinese container terminal operators from 2015 to 2021</w:t>
      </w:r>
      <w:r>
        <w:rPr>
          <w:iCs/>
          <w:i/>
          <w:color w:val="606060"/>
        </w:rPr>
        <w:t xml:space="preserve">”</w:t>
      </w:r>
      <w:r>
        <w:rPr>
          <w:iCs/>
          <w:i/>
          <w:color w:val="606060"/>
        </w:rPr>
        <w:t xml:space="preserve">, and Section 5.3.2 (p. 133) says</w:t>
      </w:r>
      <w:r>
        <w:rPr>
          <w:iCs/>
          <w:i/>
          <w:color w:val="606060"/>
        </w:rPr>
        <w:t xml:space="preserve"> </w:t>
      </w:r>
      <w:r>
        <w:rPr>
          <w:iCs/>
          <w:i/>
          <w:color w:val="606060"/>
        </w:rPr>
        <w:t xml:space="preserve">“</w:t>
      </w:r>
      <w:r>
        <w:rPr>
          <w:iCs/>
          <w:i/>
          <w:color w:val="606060"/>
        </w:rPr>
        <w:t xml:space="preserve">The data used are extracted from the China Ports Yearbook, with the scope covering 46 container terminal operators in China for seven years during 2015-2021, in total 322 observations.</w:t>
      </w:r>
      <w:r>
        <w:rPr>
          <w:iCs/>
          <w:i/>
          <w:color w:val="606060"/>
        </w:rPr>
        <w:t xml:space="preserve">”</w:t>
      </w:r>
      <w:r>
        <w:rPr>
          <w:iCs/>
          <w:i/>
          <w:color w:val="606060"/>
        </w:rPr>
        <w:t xml:space="preserve"> </w:t>
      </w:r>
      <w:r>
        <w:rPr>
          <w:iCs/>
          <w:i/>
          <w:color w:val="606060"/>
        </w:rPr>
        <w:t xml:space="preserve">There is no reason given for choosing China and no description of Chinese port governance. (d) Section 5.5 nevertheless draws policy implications that presuppose the Chinese policy context (</w:t>
      </w:r>
      <w:r>
        <w:rPr>
          <w:iCs/>
          <w:i/>
          <w:color w:val="606060"/>
        </w:rPr>
        <w:t xml:space="preserve">“</w:t>
      </w:r>
      <w:r>
        <w:rPr>
          <w:iCs/>
          <w:i/>
          <w:color w:val="606060"/>
        </w:rPr>
        <w:t xml:space="preserve">strategic restructuring towards privatisation</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governments considering port reform</w:t>
      </w:r>
      <w:r>
        <w:rPr>
          <w:iCs/>
          <w:i/>
          <w:color w:val="606060"/>
        </w:rPr>
        <w:t xml:space="preserve">”</w:t>
      </w:r>
      <w:r>
        <w:rPr>
          <w:iCs/>
          <w:i/>
          <w:color w:val="606060"/>
        </w:rPr>
        <w:t xml:space="preserve">, Yantian and Yangshan), so the reader asks where the Chinese government, its incentives and its agencies are in the analysis. (e) Chapter 6 then moves to Singapore with no bridge, so China and Singapore look like an unplanned pairing. The reviewer does not even mention Europe as a third setting, which confirms that Chapter 1 does not make the design visible.</w:t>
      </w:r>
    </w:p>
    <w:p>
      <w:pPr>
        <w:pStyle w:val="BlockText"/>
      </w:pPr>
      <w:r>
        <w:rPr>
          <w:iCs/>
          <w:i/>
          <w:color w:val="606060"/>
        </w:rPr>
        <w:t xml:space="preserve">Why the p. 193 limitation reads as contradictory. (a)</w:t>
      </w:r>
      <w:r>
        <w:rPr>
          <w:iCs/>
          <w:i/>
          <w:color w:val="606060"/>
        </w:rPr>
        <w:t xml:space="preserve"> </w:t>
      </w:r>
      <w:r>
        <w:rPr>
          <w:iCs/>
          <w:i/>
          <w:color w:val="606060"/>
        </w:rPr>
        <w:t xml:space="preserve">“</w:t>
      </w:r>
      <w:r>
        <w:rPr>
          <w:iCs/>
          <w:i/>
          <w:color w:val="606060"/>
        </w:rPr>
        <w:t xml:space="preserve">The macro-level findings in this thesis are derived mainly from European country data</w:t>
      </w:r>
      <w:r>
        <w:rPr>
          <w:iCs/>
          <w:i/>
          <w:color w:val="606060"/>
        </w:rPr>
        <w:t xml:space="preserve">”</w:t>
      </w:r>
      <w:r>
        <w:rPr>
          <w:iCs/>
          <w:i/>
          <w:color w:val="606060"/>
        </w:rPr>
        <w:t xml:space="preserve"> </w:t>
      </w:r>
      <w:r>
        <w:rPr>
          <w:iCs/>
          <w:i/>
          <w:color w:val="606060"/>
        </w:rPr>
        <w:t xml:space="preserve">sounds as if the evidence base of the thesis is European. (b) The comparatives</w:t>
      </w:r>
      <w:r>
        <w:rPr>
          <w:iCs/>
          <w:i/>
          <w:color w:val="606060"/>
        </w:rPr>
        <w:t xml:space="preserve"> </w:t>
      </w:r>
      <w:r>
        <w:rPr>
          <w:iCs/>
          <w:i/>
          <w:color w:val="606060"/>
        </w:rPr>
        <w:t xml:space="preserve">“</w:t>
      </w:r>
      <w:r>
        <w:rPr>
          <w:iCs/>
          <w:i/>
          <w:color w:val="606060"/>
        </w:rPr>
        <w:t xml:space="preserve">relatively strong</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more stable</w:t>
      </w:r>
      <w:r>
        <w:rPr>
          <w:iCs/>
          <w:i/>
          <w:color w:val="606060"/>
        </w:rPr>
        <w:t xml:space="preserve">”</w:t>
      </w:r>
      <w:r>
        <w:rPr>
          <w:iCs/>
          <w:i/>
          <w:color w:val="606060"/>
        </w:rPr>
        <w:t xml:space="preserve"> </w:t>
      </w:r>
      <w:r>
        <w:rPr>
          <w:iCs/>
          <w:i/>
          <w:color w:val="606060"/>
        </w:rPr>
        <w:t xml:space="preserve">and</w:t>
      </w:r>
      <w:r>
        <w:rPr>
          <w:iCs/>
          <w:i/>
          <w:color w:val="606060"/>
        </w:rPr>
        <w:t xml:space="preserve"> </w:t>
      </w:r>
      <w:r>
        <w:rPr>
          <w:iCs/>
          <w:i/>
          <w:color w:val="606060"/>
        </w:rPr>
        <w:t xml:space="preserve">“</w:t>
      </w:r>
      <w:r>
        <w:rPr>
          <w:iCs/>
          <w:i/>
          <w:color w:val="606060"/>
        </w:rPr>
        <w:t xml:space="preserve">clearer</w:t>
      </w:r>
      <w:r>
        <w:rPr>
          <w:iCs/>
          <w:i/>
          <w:color w:val="606060"/>
        </w:rPr>
        <w:t xml:space="preserve">”</w:t>
      </w:r>
      <w:r>
        <w:rPr>
          <w:iCs/>
          <w:i/>
          <w:color w:val="606060"/>
        </w:rPr>
        <w:t xml:space="preserve"> </w:t>
      </w:r>
      <w:r>
        <w:rPr>
          <w:iCs/>
          <w:i/>
          <w:color w:val="606060"/>
        </w:rPr>
        <w:t xml:space="preserve">invite a comparison with the other two settings of the thesis, so they imply that China and Singapore are contexts in which the thesis’s own findings may not hold. (c) The sentence does not say that the caution concerns applying the Chapter 4 results elsewhere, and that Chapters 5 and 6 do not depend on them. (d) The same paragraph names Europe for Chapter 4 and Singapore for Chapter 6 but not China for Chapter 5. (e) Two other passages sharpen the inconsistency: Section 7.1.2 applies the European Chapter 4 relationships and the Chinese Chapter 5 relationships directly to Singapore, and Section 4.6 calls the European sample</w:t>
      </w:r>
      <w:r>
        <w:rPr>
          <w:iCs/>
          <w:i/>
          <w:color w:val="606060"/>
        </w:rPr>
        <w:t xml:space="preserve"> </w:t>
      </w:r>
      <w:r>
        <w:rPr>
          <w:iCs/>
          <w:i/>
          <w:color w:val="606060"/>
        </w:rPr>
        <w:t xml:space="preserve">“</w:t>
      </w:r>
      <w:r>
        <w:rPr>
          <w:iCs/>
          <w:i/>
          <w:color w:val="606060"/>
        </w:rPr>
        <w:t xml:space="preserve">relatively homogeneous in terms of institutional background, regulatory structure, and development level</w:t>
      </w:r>
      <w:r>
        <w:rPr>
          <w:iCs/>
          <w:i/>
          <w:color w:val="606060"/>
        </w:rPr>
        <w:t xml:space="preserve">”</w:t>
      </w:r>
      <w:r>
        <w:rPr>
          <w:iCs/>
          <w:i/>
          <w:color w:val="606060"/>
        </w:rPr>
        <w:t xml:space="preserve">, whereas the new Section 1.4 stresses its variation in innovation performance. Parts B3 and B4 fix these two passages.</w:t>
      </w:r>
    </w:p>
    <w:p>
      <w:pPr>
        <w:pStyle w:val="BlockText"/>
      </w:pPr>
      <w:r>
        <w:rPr>
          <w:iCs/>
          <w:i/>
          <w:color w:val="606060"/>
        </w:rPr>
        <w:t xml:space="preserve">Based on the old amended thesis; please check the anchors against your 10 Oct version. Section numbers follow the revised numbering (new 1.4; old 1.4–1.6 become 1.5–1.7; new 7.2; old 7.2 becomes 7.3; old 7.3 becomes 7.4). The Chapter 4 construct is called the technology development level (TDL), as in file 06. Notes to you are in grey italic boxes. Everything else is proposed thesis text, to be marked purple.</w:t>
      </w:r>
    </w:p>
    <w:bookmarkStart w:id="24" w:name="X54d6985e5dbf8cd1cdcd40befec38082fa67fd7"/>
    <w:p>
      <w:pPr>
        <w:pStyle w:val="Heading1"/>
      </w:pPr>
      <w:r>
        <w:t xml:space="preserve">A. CHAPTER 5: THE CHINESE SETTING AND ITS INSTITUTIONAL CONTEXT</w:t>
      </w:r>
    </w:p>
    <w:bookmarkStart w:id="20" w:name="X86269d2162e5d6c0d0a40122c185ed535419a0e"/>
    <w:p>
      <w:pPr>
        <w:pStyle w:val="Heading2"/>
      </w:pPr>
      <w:r>
        <w:t xml:space="preserve">A1. Chapter 5 introduction: one added sentence</w:t>
      </w:r>
    </w:p>
    <w:p>
      <w:pPr>
        <w:pStyle w:val="BlockText"/>
      </w:pPr>
      <w:r>
        <w:rPr>
          <w:iCs/>
          <w:i/>
          <w:color w:val="606060"/>
        </w:rPr>
        <w:t xml:space="preserve">Insert in the opening paragraph of Chapter 5, after the sentence ending</w:t>
      </w:r>
      <w:r>
        <w:rPr>
          <w:iCs/>
          <w:i/>
          <w:color w:val="606060"/>
        </w:rPr>
        <w:t xml:space="preserve"> </w:t>
      </w:r>
      <w:r>
        <w:rPr>
          <w:iCs/>
          <w:i/>
          <w:color w:val="606060"/>
        </w:rPr>
        <w:t xml:space="preserve">“</w:t>
      </w:r>
      <w:r>
        <w:rPr>
          <w:iCs/>
          <w:i/>
          <w:color w:val="606060"/>
        </w:rPr>
        <w:t xml:space="preserve">…for the period 2018 to 2021.</w:t>
      </w:r>
      <w:r>
        <w:rPr>
          <w:iCs/>
          <w:i/>
          <w:color w:val="606060"/>
        </w:rPr>
        <w:t xml:space="preserve">”</w:t>
      </w:r>
    </w:p>
    <w:p>
      <w:pPr>
        <w:pStyle w:val="FirstParagraph"/>
      </w:pPr>
      <w:r>
        <w:rPr>
          <w:color w:val="7030A0"/>
        </w:rPr>
        <w:t xml:space="preserve">Chinese container terminals provide the setting for the organisational-level study of this thesis, for the reasons set out in Section 1.4 and Section 5.3.2.</w:t>
      </w:r>
    </w:p>
    <w:bookmarkEnd w:id="20"/>
    <w:bookmarkStart w:id="21" w:name="X4c72d79b3521c06b8cbca41457662be3ec133dc"/>
    <w:p>
      <w:pPr>
        <w:pStyle w:val="Heading2"/>
      </w:pPr>
      <w:r>
        <w:t xml:space="preserve">A2. Section 5.3.2 Data description: revised opening paragraph</w:t>
      </w:r>
    </w:p>
    <w:p>
      <w:pPr>
        <w:pStyle w:val="BlockText"/>
      </w:pPr>
      <w:r>
        <w:rPr>
          <w:iCs/>
          <w:i/>
          <w:color w:val="606060"/>
        </w:rPr>
        <w:t xml:space="preserve">Replace the first sentence of Section 5.3.2 (</w:t>
      </w:r>
      <w:r>
        <w:rPr>
          <w:iCs/>
          <w:i/>
          <w:color w:val="606060"/>
        </w:rPr>
        <w:t xml:space="preserve">“</w:t>
      </w:r>
      <w:r>
        <w:rPr>
          <w:iCs/>
          <w:i/>
          <w:color w:val="606060"/>
        </w:rPr>
        <w:t xml:space="preserve">The data used are extracted from the China Ports Yearbook, with the scope covering 46 container terminal operators in China for seven years during 2015-2021, in total 322 observations.</w:t>
      </w:r>
      <w:r>
        <w:rPr>
          <w:iCs/>
          <w:i/>
          <w:color w:val="606060"/>
        </w:rPr>
        <w:t xml:space="preserve">”</w:t>
      </w:r>
      <w:r>
        <w:rPr>
          <w:iCs/>
          <w:i/>
          <w:color w:val="606060"/>
        </w:rPr>
        <w:t xml:space="preserve">) with the text below. The paragraph then continues unchanged with</w:t>
      </w:r>
      <w:r>
        <w:rPr>
          <w:iCs/>
          <w:i/>
          <w:color w:val="606060"/>
        </w:rPr>
        <w:t xml:space="preserve"> </w:t>
      </w:r>
      <w:r>
        <w:rPr>
          <w:iCs/>
          <w:i/>
          <w:color w:val="606060"/>
        </w:rPr>
        <w:t xml:space="preserve">“</w:t>
      </w:r>
      <w:r>
        <w:rPr>
          <w:iCs/>
          <w:i/>
          <w:color w:val="606060"/>
        </w:rPr>
        <w:t xml:space="preserve">To explore the relationship between throughput and equipment deployment from 2015–2021, …</w:t>
      </w:r>
      <w:r>
        <w:rPr>
          <w:iCs/>
          <w:i/>
          <w:color w:val="606060"/>
        </w:rPr>
        <w:t xml:space="preserve">”</w:t>
      </w:r>
      <w:r>
        <w:rPr>
          <w:iCs/>
          <w:i/>
          <w:color w:val="606060"/>
        </w:rPr>
        <w:t xml:space="preserve">.</w:t>
      </w:r>
    </w:p>
    <w:p>
      <w:pPr>
        <w:pStyle w:val="FirstParagraph"/>
      </w:pPr>
      <w:r>
        <w:rPr>
          <w:color w:val="7030A0"/>
        </w:rPr>
        <w:t xml:space="preserve">The data are drawn from the China Ports Yearbook and cover 46 container terminal operators in China over the seven years from 2015 to 2021, giving 322 observations. China is the setting for the organisational-level study of this thesis. As explained in Section 1.4, the thesis adopts a multi-level, multi-context design in which each empirical study is conducted where the variation required at its level of analysis can be observed: the national-level study uses data for European countries (Chapter 4), and the operational-level study uses sea-trial data from harbour craft in the Port of Singapore (Chapter 6). China was chosen for this chapter because it offers a large population of terminal operators that differ in equipment, workforce and ownership while operating under a single national governance framework, so that differences between terminals are not confounded with differences between national port systems. The findings of this chapter therefore refer to Chinese container terminals and are interpreted within the Chinese institutional context described below; they are not combined with the results of the other empirical chapters.</w:t>
      </w:r>
    </w:p>
    <w:bookmarkEnd w:id="21"/>
    <w:bookmarkStart w:id="22" w:name="X2b7aa48c8d653b39be57bb94712d2d4f86b586f"/>
    <w:p>
      <w:pPr>
        <w:pStyle w:val="Heading2"/>
      </w:pPr>
      <w:r>
        <w:t xml:space="preserve">A3. Section 5.3.2: new paragraphs on the institutional context</w:t>
      </w:r>
    </w:p>
    <w:p>
      <w:pPr>
        <w:pStyle w:val="BlockText"/>
      </w:pPr>
      <w:r>
        <w:rPr>
          <w:iCs/>
          <w:i/>
          <w:color w:val="606060"/>
        </w:rPr>
        <w:t xml:space="preserve">Insert directly after the revised opening paragraph in A2, before the paragraph beginning</w:t>
      </w:r>
      <w:r>
        <w:rPr>
          <w:iCs/>
          <w:i/>
          <w:color w:val="606060"/>
        </w:rPr>
        <w:t xml:space="preserve"> </w:t>
      </w:r>
      <w:r>
        <w:rPr>
          <w:iCs/>
          <w:i/>
          <w:color w:val="606060"/>
        </w:rPr>
        <w:t xml:space="preserve">“</w:t>
      </w:r>
      <w:r>
        <w:rPr>
          <w:iCs/>
          <w:i/>
          <w:color w:val="606060"/>
        </w:rPr>
        <w:t xml:space="preserve">For analysing the technology progress, MPI is calculated and decomposed first.</w:t>
      </w:r>
      <w:r>
        <w:rPr>
          <w:iCs/>
          <w:i/>
          <w:color w:val="606060"/>
        </w:rPr>
        <w:t xml:space="preserve">”</w:t>
      </w:r>
      <w:r>
        <w:rPr>
          <w:iCs/>
          <w:i/>
          <w:color w:val="606060"/>
        </w:rPr>
        <w:t xml:space="preserve"> </w:t>
      </w:r>
      <w:r>
        <w:rPr>
          <w:iCs/>
          <w:i/>
          <w:color w:val="606060"/>
        </w:rPr>
        <w:t xml:space="preserve">If you prefer, the two paragraphs can instead go at the end of Section 5.1 Background; in that case change</w:t>
      </w:r>
      <w:r>
        <w:rPr>
          <w:iCs/>
          <w:i/>
          <w:color w:val="606060"/>
        </w:rPr>
        <w:t xml:space="preserve"> </w:t>
      </w:r>
      <w:r>
        <w:rPr>
          <w:iCs/>
          <w:i/>
          <w:color w:val="606060"/>
        </w:rPr>
        <w:t xml:space="preserve">“</w:t>
      </w:r>
      <w:r>
        <w:rPr>
          <w:iCs/>
          <w:i/>
          <w:color w:val="606060"/>
        </w:rPr>
        <w:t xml:space="preserve">below</w:t>
      </w:r>
      <w:r>
        <w:rPr>
          <w:iCs/>
          <w:i/>
          <w:color w:val="606060"/>
        </w:rPr>
        <w:t xml:space="preserve">”</w:t>
      </w:r>
      <w:r>
        <w:rPr>
          <w:iCs/>
          <w:i/>
          <w:color w:val="606060"/>
        </w:rPr>
        <w:t xml:space="preserve"> </w:t>
      </w:r>
      <w:r>
        <w:rPr>
          <w:iCs/>
          <w:i/>
          <w:color w:val="606060"/>
        </w:rPr>
        <w:t xml:space="preserve">in A2 to</w:t>
      </w:r>
      <w:r>
        <w:rPr>
          <w:iCs/>
          <w:i/>
          <w:color w:val="606060"/>
        </w:rPr>
        <w:t xml:space="preserve"> </w:t>
      </w:r>
      <w:r>
        <w:rPr>
          <w:iCs/>
          <w:i/>
          <w:color w:val="606060"/>
        </w:rPr>
        <w:t xml:space="preserve">“</w:t>
      </w:r>
      <w:r>
        <w:rPr>
          <w:iCs/>
          <w:i/>
          <w:color w:val="606060"/>
        </w:rPr>
        <w:t xml:space="preserve">in Section 5.1</w:t>
      </w:r>
      <w:r>
        <w:rPr>
          <w:iCs/>
          <w:i/>
          <w:color w:val="606060"/>
        </w:rPr>
        <w:t xml:space="preserve">”</w:t>
      </w:r>
      <w:r>
        <w:rPr>
          <w:iCs/>
          <w:i/>
          <w:color w:val="606060"/>
        </w:rPr>
        <w:t xml:space="preserve">. Please confirm the bracketed statement about the yearbook: I have assumed that it does not report subsidies or other government incentives received by individual operators. If it does, delete that sentence and tell me, because it would change the argument.</w:t>
      </w:r>
    </w:p>
    <w:p>
      <w:pPr>
        <w:pStyle w:val="FirstParagraph"/>
      </w:pPr>
      <w:r>
        <w:rPr>
          <w:color w:val="7030A0"/>
        </w:rPr>
        <w:t xml:space="preserve">The terminal operators in the sample work within a port governance framework that China has reformed gradually since the 1980s. Port governance was progressively decentralised from 1984 onwards, and the Port Law, which took effect in 2004, further limited government intervention in port operations by dividing port authorities into regulatory bodies and commercial enterprises; it also encouraged joint ventures by removing barriers to entry for domestic and foreign companies (Aritua et al., 2022). These reforms moved the sector away from centralised state ownership and decision-making towards corporatisation and greater private participation (Cullinane &amp; Wang, 2006; Notteboom &amp; Yang, 2017), and they were implemented differently in different ports, as the contrasting corporatisation practices of Shanghai and Shenzhen illustrate (Wang et al., 2004). Since 2015, beginning with Zhejiang, several coastal provinces have also consolidated their port companies into provincial port groups (Huo et al., 2018; Yu et al., 2025). Port modernisation has been guided by national policy. In 2019, nine government agencies, including the Ministry of Transport and the National Development and Reform Commission, issued a guideline on building world-class ports, which set the aim of breakthroughs in the green, smart and safe development of major ports by 2025 and urged local governments to strengthen policy support for port projects (Xinhua, 2019). By late 2024, the Ministry of Transport reported 52 fully automated terminals in China (Xinhua, 2025).</w:t>
      </w:r>
    </w:p>
    <w:p>
      <w:pPr>
        <w:pStyle w:val="BodyText"/>
      </w:pPr>
      <w:r>
        <w:rPr>
          <w:color w:val="7030A0"/>
        </w:rPr>
        <w:t xml:space="preserve">This context matters for the analysis in two respects. First, the reforms produced the mix of state, mixed and private ownership among terminal operators that makes it possible to examine the association between ownership and technological progress. Second, national policy guidance applies to all the terminals in the sample. It is therefore part of the common context of the analysis rather than a variable that differs between terminals, and its influence is likely to be reflected in the average trajectories of equipment deployment and technological progress rather than identified separately. [The China Ports Yearbook does not report the subsidies or other government incentives received by individual operators.] For these reasons, this chapter does not estimate the effect of government incentives. That relationship is examined at the national level in Chapter 4, where it can be identified from differences between countries (Section 1.4).</w:t>
      </w:r>
    </w:p>
    <w:bookmarkEnd w:id="22"/>
    <w:bookmarkStart w:id="23" w:name="X29a2ace30b3117cec10690928c8449f1a8ae0a4"/>
    <w:p>
      <w:pPr>
        <w:pStyle w:val="Heading2"/>
      </w:pPr>
      <w:r>
        <w:t xml:space="preserve">A4. Section 5.6: added limitation and future research</w:t>
      </w:r>
    </w:p>
    <w:p>
      <w:pPr>
        <w:pStyle w:val="BlockText"/>
      </w:pPr>
      <w:r>
        <w:rPr>
          <w:iCs/>
          <w:i/>
          <w:color w:val="606060"/>
        </w:rPr>
        <w:t xml:space="preserve">Add to the limitations paragraph of Section 5.6, after the sentences on transferability that end</w:t>
      </w:r>
      <w:r>
        <w:rPr>
          <w:iCs/>
          <w:i/>
          <w:color w:val="606060"/>
        </w:rPr>
        <w:t xml:space="preserve"> </w:t>
      </w:r>
      <w:r>
        <w:rPr>
          <w:iCs/>
          <w:i/>
          <w:color w:val="606060"/>
        </w:rPr>
        <w:t xml:space="preserve">“</w:t>
      </w:r>
      <w:r>
        <w:rPr>
          <w:iCs/>
          <w:i/>
          <w:color w:val="606060"/>
        </w:rPr>
        <w:t xml:space="preserve">…re-estimating the model using locally harmonised panel data.</w:t>
      </w:r>
      <w:r>
        <w:rPr>
          <w:iCs/>
          <w:i/>
          <w:color w:val="606060"/>
        </w:rPr>
        <w:t xml:space="preserve">”</w:t>
      </w:r>
      <w:r>
        <w:rPr>
          <w:iCs/>
          <w:i/>
          <w:color w:val="606060"/>
        </w:rPr>
        <w:t xml:space="preserve"> </w:t>
      </w:r>
      <w:r>
        <w:rPr>
          <w:iCs/>
          <w:i/>
          <w:color w:val="606060"/>
        </w:rPr>
        <w:t xml:space="preserve">and before</w:t>
      </w:r>
      <w:r>
        <w:rPr>
          <w:iCs/>
          <w:i/>
          <w:color w:val="606060"/>
        </w:rPr>
        <w:t xml:space="preserve"> </w:t>
      </w:r>
      <w:r>
        <w:rPr>
          <w:iCs/>
          <w:i/>
          <w:color w:val="606060"/>
        </w:rPr>
        <w:t xml:space="preserve">“</w:t>
      </w:r>
      <w:r>
        <w:rPr>
          <w:iCs/>
          <w:i/>
          <w:color w:val="606060"/>
        </w:rPr>
        <w:t xml:space="preserve">In this sense, the model could be viewed as a transferable analytical framework to serve other ports.</w:t>
      </w:r>
      <w:r>
        <w:rPr>
          <w:iCs/>
          <w:i/>
          <w:color w:val="606060"/>
        </w:rPr>
        <w:t xml:space="preserve">”</w:t>
      </w:r>
      <w:r>
        <w:rPr>
          <w:iCs/>
          <w:i/>
          <w:color w:val="606060"/>
        </w:rPr>
        <w:t xml:space="preserve"> </w:t>
      </w:r>
      <w:r>
        <w:rPr>
          <w:iCs/>
          <w:i/>
          <w:color w:val="606060"/>
        </w:rPr>
        <w:t xml:space="preserve">File 03 (Part D3b) adds a separate sentence on embodied technology to the same paragraph; the two do not overlap.</w:t>
      </w:r>
    </w:p>
    <w:p>
      <w:pPr>
        <w:pStyle w:val="FirstParagraph"/>
      </w:pPr>
      <w:r>
        <w:rPr>
          <w:color w:val="7030A0"/>
        </w:rPr>
        <w:t xml:space="preserve">Moreover, because national port policy is common to all the terminals in the sample, the analysis could not estimate how government incentives or policy guidance are associated with equipment deployment and technological progress at the terminal level. Future research could use differences in port policy between Chinese provinces, such as the timing of provincial port integration (Yu et al., 2025), to examine these relationships within China.</w:t>
      </w:r>
    </w:p>
    <w:bookmarkEnd w:id="23"/>
    <w:bookmarkEnd w:id="24"/>
    <w:bookmarkStart w:id="29" w:name="b.-chapter-7-and-consistency-elsewhere"/>
    <w:p>
      <w:pPr>
        <w:pStyle w:val="Heading1"/>
      </w:pPr>
      <w:r>
        <w:t xml:space="preserve">B. CHAPTER 7 AND CONSISTENCY ELSEWHERE</w:t>
      </w:r>
    </w:p>
    <w:bookmarkStart w:id="25" w:name="X13cc629a23bd7fd02ad9b8c30cac72b1e594ec9"/>
    <w:p>
      <w:pPr>
        <w:pStyle w:val="Heading2"/>
      </w:pPr>
      <w:r>
        <w:t xml:space="preserve">B1. Section 7.4 (old 7.3): rewritten paragraph on practical limitations</w:t>
      </w:r>
    </w:p>
    <w:p>
      <w:pPr>
        <w:pStyle w:val="BlockText"/>
      </w:pPr>
      <w:r>
        <w:rPr>
          <w:iCs/>
          <w:i/>
          <w:color w:val="606060"/>
        </w:rPr>
        <w:t xml:space="preserve">Replace the whole paragraph beginning</w:t>
      </w:r>
      <w:r>
        <w:rPr>
          <w:iCs/>
          <w:i/>
          <w:color w:val="606060"/>
        </w:rPr>
        <w:t xml:space="preserve"> </w:t>
      </w:r>
      <w:r>
        <w:rPr>
          <w:iCs/>
          <w:i/>
          <w:color w:val="606060"/>
        </w:rPr>
        <w:t xml:space="preserve">“</w:t>
      </w:r>
      <w:r>
        <w:rPr>
          <w:iCs/>
          <w:i/>
          <w:color w:val="606060"/>
        </w:rPr>
        <w:t xml:space="preserve">In addition, in practical implementation, several limitations and concerns should be recognised.</w:t>
      </w:r>
      <w:r>
        <w:rPr>
          <w:iCs/>
          <w:i/>
          <w:color w:val="606060"/>
        </w:rPr>
        <w:t xml:space="preserve">”</w:t>
      </w:r>
      <w:r>
        <w:rPr>
          <w:iCs/>
          <w:i/>
          <w:color w:val="606060"/>
        </w:rPr>
        <w:t xml:space="preserve"> </w:t>
      </w:r>
      <w:r>
        <w:rPr>
          <w:iCs/>
          <w:i/>
          <w:color w:val="606060"/>
        </w:rPr>
        <w:t xml:space="preserve">The substance on other port segments and on the biofuel trade-offs is kept. The new paragraph ties each limitation to its own chapter and context, states that the contexts were chosen deliberately, refers to Section 7.2.3, and no longer uses comparatives (</w:t>
      </w:r>
      <w:r>
        <w:rPr>
          <w:iCs/>
          <w:i/>
          <w:color w:val="606060"/>
        </w:rPr>
        <w:t xml:space="preserve">“</w:t>
      </w:r>
      <w:r>
        <w:rPr>
          <w:iCs/>
          <w:i/>
          <w:color w:val="606060"/>
        </w:rPr>
        <w:t xml:space="preserve">relatively strong</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more stable</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clearer</w:t>
      </w:r>
      <w:r>
        <w:rPr>
          <w:iCs/>
          <w:i/>
          <w:color w:val="606060"/>
        </w:rPr>
        <w:t xml:space="preserve">”</w:t>
      </w:r>
      <w:r>
        <w:rPr>
          <w:iCs/>
          <w:i/>
          <w:color w:val="606060"/>
        </w:rPr>
        <w:t xml:space="preserve">) that imply that China and Singapore are weaker contexts. The European sentence now matches the new Section 1.4 (common framework, varied innovation performance) and the revised Section 4.6 (Part B4). The reference to Table [new-4] assumes that the positioning analysis in file 01 will be completed; if it is dropped, delete</w:t>
      </w:r>
      <w:r>
        <w:rPr>
          <w:iCs/>
          <w:i/>
          <w:color w:val="606060"/>
        </w:rPr>
        <w:t xml:space="preserve"> </w:t>
      </w:r>
      <w:r>
        <w:rPr>
          <w:iCs/>
          <w:i/>
          <w:color w:val="606060"/>
        </w:rPr>
        <w:t xml:space="preserve">“</w:t>
      </w:r>
      <w:r>
        <w:rPr>
          <w:iCs/>
          <w:i/>
          <w:color w:val="606060"/>
        </w:rPr>
        <w:t xml:space="preserve">whose position relative to the European sample is shown in Table [new-4]</w:t>
      </w:r>
      <w:r>
        <w:rPr>
          <w:iCs/>
          <w:i/>
          <w:color w:val="606060"/>
        </w:rPr>
        <w:t xml:space="preserve">”</w:t>
      </w:r>
      <w:r>
        <w:rPr>
          <w:iCs/>
          <w:i/>
          <w:color w:val="606060"/>
        </w:rPr>
        <w:t xml:space="preserve">.</w:t>
      </w:r>
    </w:p>
    <w:p>
      <w:pPr>
        <w:pStyle w:val="FirstParagraph"/>
      </w:pPr>
      <w:r>
        <w:rPr>
          <w:color w:val="7030A0"/>
        </w:rPr>
        <w:t xml:space="preserve">In addition, several limitations concern the practical application of the findings. Each arises from the context of a particular study rather than from the thesis as a whole. As explained in Section 1.4, the three empirical studies were deliberately located in different settings, each chosen because it provides the variation and data required at its level of analysis, so the findings of each study are bounded by its own context. First, the national-level findings of Chapter 4 are derived from data for European countries, which share a broadly common policy framework but differ considerably in innovation performance (Section 1.4; European Commission, 2024). The relationships among government incentives, innovation input, the technology development level and participation may therefore be weaker, or take a different form, in countries whose institutional capacity, investment climate or technological ecosystem lies outside the range covered by the European sample, and in countries where the state plans and finances port development directly (Lee &amp; Flynn, 2011). This caution concerns the application of the Chapter 4 relationships outside Europe, including in China and Singapore, whose position relative to the European sample is shown in Table [new-4]. It does not affect the validity of Chapters 5 and 6, which do not rely on the Chapter 4 estimates and are based on their own data (Section 7.2.3). Second, the organisational-level findings of Chapter 5 are based on Chinese container terminal operators observed during a period of throughput growth, under the governance framework described in Section 5.3.2. The associations of throughput with crane deployment, and of ownership with technological progress, reflect these conditions and may be weaker or different in mature or land-constrained port markets and under other ownership and governance arrangements. Because the analysis covers container terminals only, its implications for other port segments, such as dry bulk, liquid bulk, energy or passenger terminals, should also be interpreted with caution, as their operational processes, asset structures and technology trajectories may differ. Third, the operational-level findings of Chapter 6 are based on harbour craft sea trials in the Port of Singapore, a setting with a large local biofuel supply and port-specific decarbonisation requirements for harbour craft (Section 1.4). Although the machine-learning framework is transferable, its application to other ports would require recalibration to local vessel and engine characteristics, operating patterns, fuel availability, onboard data quality and regulatory requirements. The trade-offs observed in the trials, in which lower CO₂ and CO emissions were accompanied by higher NOₓ emissions and fuel consumption and potentially higher operating costs, also imply that implementation in practice may require complementary measures, such as emission-abatement technologies, stronger monitoring systems or adjusted policy incentives. Section 7.2.3 sets out which elements of each study can be transferred to other contexts and which must be re-estimated with local data.</w:t>
      </w:r>
    </w:p>
    <w:bookmarkEnd w:id="25"/>
    <w:bookmarkStart w:id="26" w:name="X773bb319ac59d49a715ee3489fd05f5993e7f51"/>
    <w:p>
      <w:pPr>
        <w:pStyle w:val="Heading2"/>
      </w:pPr>
      <w:r>
        <w:t xml:space="preserve">B2. Section 7.4: two trims to avoid repetition</w:t>
      </w:r>
    </w:p>
    <w:p>
      <w:pPr>
        <w:pStyle w:val="BlockText"/>
      </w:pPr>
      <w:r>
        <w:rPr>
          <w:iCs/>
          <w:i/>
          <w:color w:val="606060"/>
        </w:rPr>
        <w:t xml:space="preserve">Optional but recommended. After B1, two points in the numbered list earlier in Section 7.4 repeat the new paragraph. (1) In the first point, replace the opening sentence</w:t>
      </w:r>
      <w:r>
        <w:rPr>
          <w:iCs/>
          <w:i/>
          <w:color w:val="606060"/>
        </w:rPr>
        <w:t xml:space="preserve"> </w:t>
      </w:r>
      <w:r>
        <w:rPr>
          <w:iCs/>
          <w:i/>
          <w:color w:val="606060"/>
        </w:rPr>
        <w:t xml:space="preserve">“</w:t>
      </w:r>
      <w:r>
        <w:rPr>
          <w:iCs/>
          <w:i/>
          <w:color w:val="606060"/>
        </w:rPr>
        <w:t xml:space="preserve">First, the empirical scope of the research is limited to selected contexts and datasets.</w:t>
      </w:r>
      <w:r>
        <w:rPr>
          <w:iCs/>
          <w:i/>
          <w:color w:val="606060"/>
        </w:rPr>
        <w:t xml:space="preserve">”</w:t>
      </w:r>
      <w:r>
        <w:rPr>
          <w:iCs/>
          <w:i/>
          <w:color w:val="606060"/>
        </w:rPr>
        <w:t xml:space="preserve"> </w:t>
      </w:r>
      <w:r>
        <w:rPr>
          <w:iCs/>
          <w:i/>
          <w:color w:val="606060"/>
        </w:rPr>
        <w:t xml:space="preserve">with the sentence below, and delete the last sentence of that point (</w:t>
      </w:r>
      <w:r>
        <w:rPr>
          <w:iCs/>
          <w:i/>
          <w:color w:val="606060"/>
        </w:rPr>
        <w:t xml:space="preserve">“</w:t>
      </w:r>
      <w:r>
        <w:rPr>
          <w:iCs/>
          <w:i/>
          <w:color w:val="606060"/>
        </w:rPr>
        <w:t xml:space="preserve">In addition, the terminal-level analysis was restricted to container terminals; other port types, such as bulk, energy, and passenger terminals, may display different technological trajectories.</w:t>
      </w:r>
      <w:r>
        <w:rPr>
          <w:iCs/>
          <w:i/>
          <w:color w:val="606060"/>
        </w:rPr>
        <w:t xml:space="preserve">”</w:t>
      </w:r>
      <w:r>
        <w:rPr>
          <w:iCs/>
          <w:i/>
          <w:color w:val="606060"/>
        </w:rPr>
        <w:t xml:space="preserve">), which is now covered in B1. The middle sentence of the first point is ungrammatical in the current text (</w:t>
      </w:r>
      <w:r>
        <w:rPr>
          <w:iCs/>
          <w:i/>
          <w:color w:val="606060"/>
        </w:rPr>
        <w:t xml:space="preserve">“</w:t>
      </w:r>
      <w:r>
        <w:rPr>
          <w:iCs/>
          <w:i/>
          <w:color w:val="606060"/>
        </w:rPr>
        <w:t xml:space="preserve">using a the structural models</w:t>
      </w:r>
      <w:r>
        <w:rPr>
          <w:iCs/>
          <w:i/>
          <w:color w:val="606060"/>
        </w:rPr>
        <w:t xml:space="preserve">”</w:t>
      </w:r>
      <w:r>
        <w:rPr>
          <w:iCs/>
          <w:i/>
          <w:color w:val="606060"/>
        </w:rPr>
        <w:t xml:space="preserve">); a corrected version is also given below. (2) In the second point, delete the first sentence (</w:t>
      </w:r>
      <w:r>
        <w:rPr>
          <w:iCs/>
          <w:i/>
          <w:color w:val="606060"/>
        </w:rPr>
        <w:t xml:space="preserve">“</w:t>
      </w:r>
      <w:r>
        <w:rPr>
          <w:iCs/>
          <w:i/>
          <w:color w:val="606060"/>
        </w:rPr>
        <w:t xml:space="preserve">Second, the operational studies on biofuel adoption and emissions were based on field trials in Singapore, which may not be generalisable…</w:t>
      </w:r>
      <w:r>
        <w:rPr>
          <w:iCs/>
          <w:i/>
          <w:color w:val="606060"/>
        </w:rPr>
        <w:t xml:space="preserve">”</w:t>
      </w:r>
      <w:r>
        <w:rPr>
          <w:iCs/>
          <w:i/>
          <w:color w:val="606060"/>
        </w:rPr>
        <w:t xml:space="preserve">) and start the point with</w:t>
      </w:r>
      <w:r>
        <w:rPr>
          <w:iCs/>
          <w:i/>
          <w:color w:val="606060"/>
        </w:rPr>
        <w:t xml:space="preserve"> </w:t>
      </w:r>
      <w:r>
        <w:rPr>
          <w:iCs/>
          <w:i/>
          <w:color w:val="606060"/>
        </w:rPr>
        <w:t xml:space="preserve">“</w:t>
      </w:r>
      <w:r>
        <w:rPr>
          <w:iCs/>
          <w:i/>
          <w:color w:val="606060"/>
        </w:rPr>
        <w:t xml:space="preserve">Second, although ML methods demonstrated strong predictive performance, the models were constrained by the quality and scope of available data.</w:t>
      </w:r>
      <w:r>
        <w:rPr>
          <w:iCs/>
          <w:i/>
          <w:color w:val="606060"/>
        </w:rPr>
        <w:t xml:space="preserve">”</w:t>
      </w:r>
      <w:r>
        <w:rPr>
          <w:iCs/>
          <w:i/>
          <w:color w:val="606060"/>
        </w:rPr>
        <w:t xml:space="preserve"> </w:t>
      </w:r>
      <w:r>
        <w:rPr>
          <w:iCs/>
          <w:i/>
          <w:color w:val="606060"/>
        </w:rPr>
        <w:t xml:space="preserve">The rest of that point stays. The fourth point added by file 03 (Part D5c) is unaffected.</w:t>
      </w:r>
    </w:p>
    <w:p>
      <w:pPr>
        <w:pStyle w:val="FirstParagraph"/>
      </w:pPr>
      <w:r>
        <w:rPr>
          <w:color w:val="7030A0"/>
        </w:rPr>
        <w:t xml:space="preserve">First, each empirical study is based on a single, deliberately selected context and dataset (Section 1.4), and its findings are bounded by that context, as discussed below. The structural models used to analyse the technology development level and stakeholder participation are appropriate for testing the hypothesised relationships, but they identify associations rather than definitive causal effects.</w:t>
      </w:r>
    </w:p>
    <w:bookmarkEnd w:id="26"/>
    <w:bookmarkStart w:id="27" w:name="X315093c1b271cf0e6872ff1b68a8d41f60864aa"/>
    <w:p>
      <w:pPr>
        <w:pStyle w:val="Heading2"/>
      </w:pPr>
      <w:r>
        <w:t xml:space="preserve">B3. Section 7.1.2 Implementation for a real port: The Case of Singapore</w:t>
      </w:r>
    </w:p>
    <w:p>
      <w:pPr>
        <w:pStyle w:val="BlockText"/>
      </w:pPr>
      <w:r>
        <w:rPr>
          <w:iCs/>
          <w:i/>
          <w:color w:val="606060"/>
        </w:rPr>
        <w:t xml:space="preserve">Insert at the end of the first paragraph of Section 7.1.2, which ends</w:t>
      </w:r>
      <w:r>
        <w:rPr>
          <w:iCs/>
          <w:i/>
          <w:color w:val="606060"/>
        </w:rPr>
        <w:t xml:space="preserve"> </w:t>
      </w:r>
      <w:r>
        <w:rPr>
          <w:iCs/>
          <w:i/>
          <w:color w:val="606060"/>
        </w:rPr>
        <w:t xml:space="preserve">“</w:t>
      </w:r>
      <w:r>
        <w:rPr>
          <w:iCs/>
          <w:i/>
          <w:color w:val="606060"/>
        </w:rPr>
        <w:t xml:space="preserve">…offering an integrated pathway for implementation across policy, terminal, and operational levels.</w:t>
      </w:r>
      <w:r>
        <w:rPr>
          <w:iCs/>
          <w:i/>
          <w:color w:val="606060"/>
        </w:rPr>
        <w:t xml:space="preserve">”</w:t>
      </w:r>
      <w:r>
        <w:rPr>
          <w:iCs/>
          <w:i/>
          <w:color w:val="606060"/>
        </w:rPr>
        <w:t xml:space="preserve"> </w:t>
      </w:r>
      <w:r>
        <w:rPr>
          <w:iCs/>
          <w:i/>
          <w:color w:val="606060"/>
        </w:rPr>
        <w:t xml:space="preserve">Without it, Section 7.1.2 applies the European Chapter 4 relationships and the Chinese Chapter 5 relationships to Singapore without qualification, which is the same kind of inconsistency the reviewer points to. Section 4.4.3 already says that the Chapter 4 findings are most directly applicable to advanced economies such as Singapore, so the qualification is consistent with Chapter 4.</w:t>
      </w:r>
    </w:p>
    <w:p>
      <w:pPr>
        <w:pStyle w:val="FirstParagraph"/>
      </w:pPr>
      <w:r>
        <w:rPr>
          <w:color w:val="7030A0"/>
        </w:rPr>
        <w:t xml:space="preserve">These applications should be read together with the assessment of transferability in Section 7.2.3. The Chapter 6 results were obtained in Singapore and apply directly to its harbour craft. The Chapter 4 and Chapter 5 relationships, by contrast, were estimated with European and Chinese data, respectively. Their use in Singapore therefore relies on the analytical frameworks and on the expected direction of the relationships, which would need to be confirmed, and the coefficients re-estimated, with Singaporean data.</w:t>
      </w:r>
    </w:p>
    <w:bookmarkEnd w:id="27"/>
    <w:bookmarkStart w:id="28" w:name="b4.-other-consistency-edits"/>
    <w:p>
      <w:pPr>
        <w:pStyle w:val="Heading2"/>
      </w:pPr>
      <w:r>
        <w:t xml:space="preserve">B4. Other consistency edits</w:t>
      </w:r>
    </w:p>
    <w:p>
      <w:pPr>
        <w:pStyle w:val="BlockText"/>
      </w:pPr>
      <w:r>
        <w:rPr>
          <w:iCs/>
          <w:i/>
          <w:color w:val="606060"/>
        </w:rPr>
        <w:t xml:space="preserve">Small edits that make the design visible from the start and remove the remaining inconsistencies. File 01 already revises the opening paragraph of Section 1.2, adds Section 1.4, and revises the Chapter 7 description in Section 1.7 (old 1.6). Please also check the wording</w:t>
      </w:r>
      <w:r>
        <w:rPr>
          <w:iCs/>
          <w:i/>
          <w:color w:val="606060"/>
        </w:rPr>
        <w:t xml:space="preserve"> </w:t>
      </w:r>
      <w:r>
        <w:rPr>
          <w:iCs/>
          <w:i/>
          <w:color w:val="606060"/>
        </w:rPr>
        <w:t xml:space="preserve">“</w:t>
      </w:r>
      <w:r>
        <w:rPr>
          <w:iCs/>
          <w:i/>
          <w:color w:val="606060"/>
        </w:rPr>
        <w:t xml:space="preserve">each European Union country</w:t>
      </w:r>
      <w:r>
        <w:rPr>
          <w:iCs/>
          <w:i/>
          <w:color w:val="606060"/>
        </w:rPr>
        <w:t xml:space="preserve">”</w:t>
      </w:r>
      <w:r>
        <w:rPr>
          <w:iCs/>
          <w:i/>
          <w:color w:val="606060"/>
        </w:rPr>
        <w:t xml:space="preserve"> </w:t>
      </w:r>
      <w:r>
        <w:rPr>
          <w:iCs/>
          <w:i/>
          <w:color w:val="606060"/>
        </w:rPr>
        <w:t xml:space="preserve">in Section 4.3.1: the sample has 35 European countries, which cannot all be EU members, so</w:t>
      </w:r>
      <w:r>
        <w:rPr>
          <w:iCs/>
          <w:i/>
          <w:color w:val="606060"/>
        </w:rPr>
        <w:t xml:space="preserve"> </w:t>
      </w:r>
      <w:r>
        <w:rPr>
          <w:iCs/>
          <w:i/>
          <w:color w:val="606060"/>
        </w:rPr>
        <w:t xml:space="preserve">“</w:t>
      </w:r>
      <w:r>
        <w:rPr>
          <w:iCs/>
          <w:i/>
          <w:color w:val="606060"/>
        </w:rPr>
        <w:t xml:space="preserve">each European country in the sample</w:t>
      </w:r>
      <w:r>
        <w:rPr>
          <w:iCs/>
          <w:i/>
          <w:color w:val="606060"/>
        </w:rPr>
        <w:t xml:space="preserve">”</w:t>
      </w:r>
      <w:r>
        <w:rPr>
          <w:iCs/>
          <w:i/>
          <w:color w:val="606060"/>
        </w:rPr>
        <w:t xml:space="preserve"> </w:t>
      </w:r>
      <w:r>
        <w:rPr>
          <w:iCs/>
          <w:i/>
          <w:color w:val="606060"/>
        </w:rPr>
        <w:t xml:space="preserve">is safer. File 02 asks for the country list. The optional Section 4.4.3 row aligns the description of the European sample with Section 1.4; if you adopt it, make the same change to the sentence in Section 7.2.3 (file 01) that summarises Section 4.4.3 (</w:t>
      </w:r>
      <w:r>
        <w:rPr>
          <w:iCs/>
          <w:i/>
          <w:color w:val="606060"/>
        </w:rPr>
        <w:t xml:space="preserve">“</w:t>
      </w:r>
      <w:r>
        <w:rPr>
          <w:iCs/>
          <w:i/>
          <w:color w:val="606060"/>
        </w:rPr>
        <w:t xml:space="preserve">Chapter 4 noted that its results derive mainly from developed European countries…</w:t>
      </w:r>
      <w:r>
        <w:rPr>
          <w:iCs/>
          <w:i/>
          <w:color w:val="606060"/>
        </w:rPr>
        <w:t xml:space="preserve">”</w:t>
      </w:r>
      <w:r>
        <w:rPr>
          <w:iCs/>
          <w:i/>
          <w:color w:val="606060"/>
        </w:rPr>
        <w:t xml:space="preserve">).</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color w:val="7030A0"/>
                <w:sz w:val="18"/>
              </w:rPr>
              <w:t xml:space="preserve">Location</w:t>
            </w:r>
          </w:p>
        </w:tc>
        <w:tc>
          <w:tcPr/>
          <w:p>
            <w:pPr>
              <w:pStyle w:val="Compact"/>
              <w:jc w:val="left"/>
            </w:pPr>
            <w:r>
              <w:rPr>
                <w:color w:val="7030A0"/>
                <w:sz w:val="18"/>
              </w:rPr>
              <w:t xml:space="preserve">Revised text</w:t>
            </w:r>
          </w:p>
        </w:tc>
      </w:tr>
      <w:tr>
        <w:tc>
          <w:tcPr/>
          <w:p>
            <w:pPr>
              <w:pStyle w:val="Compact"/>
              <w:jc w:val="left"/>
            </w:pPr>
            <w:r>
              <w:rPr>
                <w:color w:val="7030A0"/>
                <w:sz w:val="18"/>
              </w:rPr>
              <w:t xml:space="preserve">Summary, end of second paragraph (new sentence)</w:t>
            </w:r>
          </w:p>
        </w:tc>
        <w:tc>
          <w:tcPr/>
          <w:p>
            <w:pPr>
              <w:pStyle w:val="Compact"/>
              <w:jc w:val="left"/>
            </w:pPr>
            <w:r>
              <w:rPr>
                <w:color w:val="7030A0"/>
                <w:sz w:val="18"/>
              </w:rPr>
              <w:t xml:space="preserve">Each empirical study is conducted in the setting that best suits its level of analysis.</w:t>
            </w:r>
          </w:p>
        </w:tc>
      </w:tr>
      <w:tr>
        <w:tc>
          <w:tcPr/>
          <w:p>
            <w:pPr>
              <w:pStyle w:val="Compact"/>
              <w:jc w:val="left"/>
            </w:pPr>
            <w:r>
              <w:rPr>
                <w:color w:val="7030A0"/>
                <w:sz w:val="18"/>
              </w:rPr>
              <w:t xml:space="preserve">Summary, Chapter 4 paragraph</w:t>
            </w:r>
          </w:p>
        </w:tc>
        <w:tc>
          <w:tcPr/>
          <w:p>
            <w:pPr>
              <w:pStyle w:val="Compact"/>
              <w:jc w:val="left"/>
            </w:pPr>
            <w:r>
              <w:rPr>
                <w:color w:val="7030A0"/>
                <w:sz w:val="18"/>
              </w:rPr>
              <w:t xml:space="preserve">At the macro national level, the second study (Chapter 4), based on data for European countries, looks from the investment perspective…</w:t>
            </w:r>
          </w:p>
        </w:tc>
      </w:tr>
      <w:tr>
        <w:tc>
          <w:tcPr/>
          <w:p>
            <w:pPr>
              <w:pStyle w:val="Compact"/>
              <w:jc w:val="left"/>
            </w:pPr>
            <w:r>
              <w:rPr>
                <w:color w:val="7030A0"/>
                <w:sz w:val="18"/>
              </w:rPr>
              <w:t xml:space="preserve">Summary, Chapter 5 paragraph</w:t>
            </w:r>
          </w:p>
        </w:tc>
        <w:tc>
          <w:tcPr/>
          <w:p>
            <w:pPr>
              <w:pStyle w:val="Compact"/>
              <w:jc w:val="left"/>
            </w:pPr>
            <w:r>
              <w:rPr>
                <w:color w:val="7030A0"/>
                <w:sz w:val="18"/>
              </w:rPr>
              <w:t xml:space="preserve">…evaluates landside equipment deployment and technological progress in Chinese container terminals using growth models.</w:t>
            </w:r>
          </w:p>
        </w:tc>
      </w:tr>
      <w:tr>
        <w:tc>
          <w:tcPr/>
          <w:p>
            <w:pPr>
              <w:pStyle w:val="Compact"/>
              <w:jc w:val="left"/>
            </w:pPr>
            <w:r>
              <w:rPr>
                <w:color w:val="7030A0"/>
                <w:sz w:val="18"/>
              </w:rPr>
              <w:t xml:space="preserve">Summary, Chapter 6 paragraph</w:t>
            </w:r>
          </w:p>
        </w:tc>
        <w:tc>
          <w:tcPr/>
          <w:p>
            <w:pPr>
              <w:pStyle w:val="Compact"/>
              <w:jc w:val="left"/>
            </w:pPr>
            <w:r>
              <w:rPr>
                <w:color w:val="7030A0"/>
                <w:sz w:val="18"/>
              </w:rPr>
              <w:t xml:space="preserve">…using real-world data from harbour craft in the Port of Singapore.</w:t>
            </w:r>
          </w:p>
        </w:tc>
      </w:tr>
      <w:tr>
        <w:tc>
          <w:tcPr/>
          <w:p>
            <w:pPr>
              <w:pStyle w:val="Compact"/>
              <w:jc w:val="left"/>
            </w:pPr>
            <w:r>
              <w:rPr>
                <w:color w:val="7030A0"/>
                <w:sz w:val="18"/>
              </w:rPr>
              <w:t xml:space="preserve">1.2, Objective 2</w:t>
            </w:r>
          </w:p>
        </w:tc>
        <w:tc>
          <w:tcPr/>
          <w:p>
            <w:pPr>
              <w:pStyle w:val="Compact"/>
              <w:jc w:val="left"/>
            </w:pPr>
            <w:r>
              <w:rPr>
                <w:color w:val="7030A0"/>
                <w:sz w:val="18"/>
              </w:rPr>
              <w:t xml:space="preserve">Study 2 (Chapter 4): at the national level, using data for European countries, …</w:t>
            </w:r>
          </w:p>
        </w:tc>
      </w:tr>
      <w:tr>
        <w:tc>
          <w:tcPr/>
          <w:p>
            <w:pPr>
              <w:pStyle w:val="Compact"/>
              <w:jc w:val="left"/>
            </w:pPr>
            <w:r>
              <w:rPr>
                <w:color w:val="7030A0"/>
                <w:sz w:val="18"/>
              </w:rPr>
              <w:t xml:space="preserve">1.2, Objective 3</w:t>
            </w:r>
          </w:p>
        </w:tc>
        <w:tc>
          <w:tcPr/>
          <w:p>
            <w:pPr>
              <w:pStyle w:val="Compact"/>
              <w:jc w:val="left"/>
            </w:pPr>
            <w:r>
              <w:rPr>
                <w:color w:val="7030A0"/>
                <w:sz w:val="18"/>
              </w:rPr>
              <w:t xml:space="preserve">…to evaluate the operational dynamics of equipment deployment and technology progress in Chinese container terminals…</w:t>
            </w:r>
          </w:p>
        </w:tc>
      </w:tr>
      <w:tr>
        <w:tc>
          <w:tcPr/>
          <w:p>
            <w:pPr>
              <w:pStyle w:val="Compact"/>
              <w:jc w:val="left"/>
            </w:pPr>
            <w:r>
              <w:rPr>
                <w:color w:val="7030A0"/>
                <w:sz w:val="18"/>
              </w:rPr>
              <w:t xml:space="preserve">1.2, Objective 4</w:t>
            </w:r>
          </w:p>
        </w:tc>
        <w:tc>
          <w:tcPr/>
          <w:p>
            <w:pPr>
              <w:pStyle w:val="Compact"/>
              <w:jc w:val="left"/>
            </w:pPr>
            <w:r>
              <w:rPr>
                <w:color w:val="7030A0"/>
                <w:sz w:val="18"/>
              </w:rPr>
              <w:t xml:space="preserve">Study 4 (Chapter 6): …in harbour craft operation in the Port of Singapore…</w:t>
            </w:r>
          </w:p>
        </w:tc>
      </w:tr>
      <w:tr>
        <w:tc>
          <w:tcPr/>
          <w:p>
            <w:pPr>
              <w:pStyle w:val="Compact"/>
              <w:jc w:val="left"/>
            </w:pPr>
            <w:r>
              <w:rPr>
                <w:color w:val="7030A0"/>
                <w:sz w:val="18"/>
              </w:rPr>
              <w:t xml:space="preserve">1.7 (old 1.6), Chapters 4 and 5</w:t>
            </w:r>
          </w:p>
        </w:tc>
        <w:tc>
          <w:tcPr/>
          <w:p>
            <w:pPr>
              <w:pStyle w:val="Compact"/>
              <w:jc w:val="left"/>
            </w:pPr>
            <w:r>
              <w:rPr>
                <w:color w:val="7030A0"/>
                <w:sz w:val="18"/>
              </w:rPr>
              <w:t xml:space="preserve">Chapter 4 examines, for European countries, the impact factors…; Chapter 5 zooms in on port terminal operation on the landside in Chinese container terminals…</w:t>
            </w:r>
          </w:p>
        </w:tc>
      </w:tr>
      <w:tr>
        <w:tc>
          <w:tcPr/>
          <w:p>
            <w:pPr>
              <w:pStyle w:val="Compact"/>
              <w:jc w:val="left"/>
            </w:pPr>
            <w:r>
              <w:rPr>
                <w:color w:val="7030A0"/>
                <w:sz w:val="18"/>
              </w:rPr>
              <w:t xml:space="preserve">4.6, first limitation (replaces its first two sentences)</w:t>
            </w:r>
          </w:p>
        </w:tc>
        <w:tc>
          <w:tcPr/>
          <w:p>
            <w:pPr>
              <w:pStyle w:val="Compact"/>
              <w:jc w:val="left"/>
            </w:pPr>
            <w:r>
              <w:rPr>
                <w:color w:val="7030A0"/>
                <w:sz w:val="18"/>
              </w:rPr>
              <w:t xml:space="preserve">First, the sample consists mainly of European countries, which share a broadly common policy framework but differ considerably in innovation performance (Section 1.4). This supports comparability, but the estimated relationships and their strength may differ in national contexts outside the range covered by the sample, especially in developing countries.</w:t>
            </w:r>
          </w:p>
        </w:tc>
      </w:tr>
      <w:tr>
        <w:tc>
          <w:tcPr/>
          <w:p>
            <w:pPr>
              <w:pStyle w:val="Compact"/>
              <w:jc w:val="left"/>
            </w:pPr>
            <w:r>
              <w:rPr>
                <w:color w:val="7030A0"/>
                <w:sz w:val="18"/>
              </w:rPr>
              <w:t xml:space="preserve">Table [new-2] (file 01), China, Governance</w:t>
            </w:r>
          </w:p>
        </w:tc>
        <w:tc>
          <w:tcPr/>
          <w:p>
            <w:pPr>
              <w:pStyle w:val="Compact"/>
              <w:jc w:val="left"/>
            </w:pPr>
            <w:r>
              <w:rPr>
                <w:color w:val="7030A0"/>
                <w:sz w:val="18"/>
              </w:rPr>
              <w:t xml:space="preserve">Municipal and provincial, under national guidance</w:t>
            </w:r>
          </w:p>
        </w:tc>
      </w:tr>
      <w:tr>
        <w:tc>
          <w:tcPr/>
          <w:p>
            <w:pPr>
              <w:pStyle w:val="Compact"/>
              <w:jc w:val="left"/>
            </w:pPr>
            <w:r>
              <w:rPr>
                <w:color w:val="7030A0"/>
                <w:sz w:val="18"/>
              </w:rPr>
              <w:t xml:space="preserve">4.4.3, first transferability paragraph, first two sentences (optional)</w:t>
            </w:r>
          </w:p>
        </w:tc>
        <w:tc>
          <w:tcPr/>
          <w:p>
            <w:pPr>
              <w:pStyle w:val="Compact"/>
              <w:jc w:val="left"/>
            </w:pPr>
            <w:r>
              <w:rPr>
                <w:color w:val="7030A0"/>
                <w:sz w:val="18"/>
              </w:rPr>
              <w:t xml:space="preserve">First, our results are derived from European countries, most of which have well-developed national innovation systems, stable governance, advanced infrastructure and established regulatory frameworks, although their innovation performance varies considerably (Section 1.4). Therefore, direct application of these insights would be most straightforward in similarly developed contexts, …</w:t>
            </w:r>
          </w:p>
        </w:tc>
      </w:tr>
    </w:tbl>
    <w:bookmarkEnd w:id="28"/>
    <w:bookmarkEnd w:id="29"/>
    <w:bookmarkStart w:id="30" w:name="c.-response-to-the-reviewer"/>
    <w:p>
      <w:pPr>
        <w:pStyle w:val="Heading1"/>
      </w:pPr>
      <w:r>
        <w:t xml:space="preserve">C. RESPONSE TO THE REVIEWER</w:t>
      </w:r>
    </w:p>
    <w:p>
      <w:pPr>
        <w:pStyle w:val="BlockText"/>
      </w:pPr>
      <w:r>
        <w:rPr>
          <w:iCs/>
          <w:i/>
          <w:color w:val="606060"/>
        </w:rPr>
        <w:t xml:space="preserve">For the Reviewer 3 response letter. Page numbers will be added once the revised thesis is paginated. The letter refers to file 01 for Sections 1.2, 1.4 and 7.2 rather than repeating them. It cites only sources that also appear in the revised thesis text.</w:t>
      </w:r>
    </w:p>
    <w:p>
      <w:pPr>
        <w:pStyle w:val="FirstParagraph"/>
      </w:pPr>
      <w:r>
        <w:rPr>
          <w:color w:val="7030A0"/>
        </w:rPr>
        <w:t xml:space="preserve">We thank the reviewer for this careful reading and for raising an important point about the coherence of the thesis. We agree that the original text created ambiguity. Chapter 1 did not state where each empirical study was conducted or why, and the Chinese setting of Chapter 5 first appeared in the data description of Section 5.3.2, with no explanation of the choice and no account of the Chinese institutional context. Read together with the overall aim in Section 1.2, this could suggest that China was the implicit setting of the whole thesis. We also agree that the limitation on p. 193 was poorly phrased. By referring to</w:t>
      </w:r>
      <w:r>
        <w:rPr>
          <w:color w:val="7030A0"/>
        </w:rPr>
        <w:t xml:space="preserve"> </w:t>
      </w:r>
      <w:r>
        <w:rPr>
          <w:color w:val="7030A0"/>
        </w:rPr>
        <w:t xml:space="preserve">“</w:t>
      </w:r>
      <w:r>
        <w:rPr>
          <w:color w:val="7030A0"/>
        </w:rPr>
        <w:t xml:space="preserve">the macro-level findings in this thesis</w:t>
      </w:r>
      <w:r>
        <w:rPr>
          <w:color w:val="7030A0"/>
        </w:rPr>
        <w:t xml:space="preserve">”</w:t>
      </w:r>
      <w:r>
        <w:rPr>
          <w:color w:val="7030A0"/>
        </w:rPr>
        <w:t xml:space="preserve"> </w:t>
      </w:r>
      <w:r>
        <w:rPr>
          <w:color w:val="7030A0"/>
        </w:rPr>
        <w:t xml:space="preserve">and by comparing European contexts with unspecified others, it appeared to question the settings of Chapters 5 and 6, which was not our intention.</w:t>
      </w:r>
    </w:p>
    <w:p>
      <w:pPr>
        <w:pStyle w:val="BodyText"/>
      </w:pPr>
      <w:r>
        <w:rPr>
          <w:color w:val="7030A0"/>
        </w:rPr>
        <w:t xml:space="preserve">We would like to clarify that the thesis is not designed as a study of China, or of any single country. It adopts a multi-level, multi-context design in which each empirical study is conducted in the setting where the variation required at its level of analysis can be observed and comparable data are available. The national-level study (Chapter 4) requires cross-national variation in government incentives, innovation input and the technology development level, measured on a comparable basis. European countries provide harmonised project and R&amp;D data and a broadly common policy framework within which innovation performance varies considerably. The organisational-level study (Chapter 5) requires a large panel of terminals that differ in equipment, workforce and ownership under the same national regime, so that terminal-level effects are not confounded with differences between national systems; China, which has the largest container port throughput of any country (UNCTAD, 2025), offers the largest such population, with consistent terminal-level yearbook data. We did not pool terminals from across Asia, because Asian port systems are highly uneven: the 2023 Logistics Performance Index, for example, scores Singapore at 4.3 but Cambodia and Lao PDR at 2.4 (World Bank, 2023). The operational-level study (Chapter 6) requires high-resolution data on a sustainable technology in actual use. Singapore, the world’s largest bunkering port, requires all new harbour craft from 2030 to be fully electric, capable of using B100 biofuel or compatible with net-zero fuels, and biofuel sea trials on harbour craft were conducted there (MPA Singapore, 2024b, 2026a, 2026b). The three levels are therefore analytical rather than nested: the Chinese terminals are not part of the European sample, and the Singapore harbour craft are not part of the Chinese terminal system. The links between the levels are conceptual implications rather than estimated cross-level effects, and the coefficients of each chapter apply only to its own setting. This rationale is now set out explicitly in the revised opening of Section 1.2 and in a new Section 1.4,</w:t>
      </w:r>
      <w:r>
        <w:rPr>
          <w:color w:val="7030A0"/>
        </w:rPr>
        <w:t xml:space="preserve"> </w:t>
      </w:r>
      <w:r>
        <w:rPr>
          <w:color w:val="7030A0"/>
        </w:rPr>
        <w:t xml:space="preserve">“</w:t>
      </w:r>
      <w:r>
        <w:rPr>
          <w:color w:val="7030A0"/>
        </w:rPr>
        <w:t xml:space="preserve">Rationale for the empirical contexts</w:t>
      </w:r>
      <w:r>
        <w:rPr>
          <w:color w:val="7030A0"/>
        </w:rPr>
        <w:t xml:space="preserve">”</w:t>
      </w:r>
      <w:r>
        <w:rPr>
          <w:color w:val="7030A0"/>
        </w:rPr>
        <w:t xml:space="preserve">, with Table [new-1]. The settings are also named in the Summary, in Objectives 2 to 4 and in the thesis structure (Section 1.7).</w:t>
      </w:r>
    </w:p>
    <w:p>
      <w:pPr>
        <w:pStyle w:val="BodyText"/>
      </w:pPr>
      <w:r>
        <w:rPr>
          <w:color w:val="7030A0"/>
        </w:rPr>
        <w:t xml:space="preserve">Regarding the suggestion that the thesis should focus on Chinese government incentives, subsidies and agencies, the thesis treats the effect of government incentives as a national-level question. Within a single country, national incentive schemes and policy guidance are largely common to all organisations, so their effect is difficult to separate from other common influences without organisation-level incentive data, which the terminal-level data used in Chapter 5 do not provide. For this reason, the thesis examines government incentives using cross-country variation in Chapter 4 (Section 1.4). We nevertheless agree that Chapter 5 should describe the Chinese institutional context in which the terminals operate, and that doing so strengthens the interpretation of its findings. Section 5.3.2 now states that</w:t>
      </w:r>
      <w:r>
        <w:rPr>
          <w:color w:val="7030A0"/>
        </w:rPr>
        <w:t xml:space="preserve"> </w:t>
      </w:r>
      <w:r>
        <w:rPr>
          <w:color w:val="7030A0"/>
        </w:rPr>
        <w:t xml:space="preserve">“</w:t>
      </w:r>
      <w:r>
        <w:rPr>
          <w:color w:val="7030A0"/>
        </w:rPr>
        <w:t xml:space="preserve">China is the setting for the organisational-level study of this thesis</w:t>
      </w:r>
      <w:r>
        <w:rPr>
          <w:color w:val="7030A0"/>
        </w:rPr>
        <w:t xml:space="preserve">”</w:t>
      </w:r>
      <w:r>
        <w:rPr>
          <w:color w:val="7030A0"/>
        </w:rPr>
        <w:t xml:space="preserve"> </w:t>
      </w:r>
      <w:r>
        <w:rPr>
          <w:color w:val="7030A0"/>
        </w:rPr>
        <w:t xml:space="preserve">within the multi-context design, and adds two paragraphs on the context of Chinese container terminals: the gradual decentralisation of port governance and the Port Law of 2004, which separated regulatory and commercial functions and opened the sector to joint ventures (Aritua et al., 2022; Notteboom &amp; Yang, 2017); the consolidation of port companies into provincial port groups since 2015 (Huo et al., 2018; Yu et al., 2025); and national guidance on port modernisation, including the 2019 guideline on building world-class ports issued by the Ministry of Transport and other agencies (Xinhua, 2019) and the growth of automated terminals (Xinhua, 2025). The section explains that these reforms produced the ownership variation examined in the chapter, and that national policy guidance is common to all the terminals in the sample, so that its influence is reflected in the average trajectories rather than estimated separately. Section 5.6 now acknowledges that the chapter could not estimate the role of government incentives at the terminal level, and suggests that future research could use differences between Chinese provinces, such as the timing of provincial port integration, to do so.</w:t>
      </w:r>
    </w:p>
    <w:p>
      <w:pPr>
        <w:pStyle w:val="BodyText"/>
      </w:pPr>
      <w:r>
        <w:rPr>
          <w:color w:val="7030A0"/>
        </w:rPr>
        <w:t xml:space="preserve">We agree with the reviewer that China and Singapore, and indeed the European countries, differ in their economic systems and policies. Rather than treating this as a weakness to be avoided, the revised thesis addresses it explicitly in a new Section 7.2,</w:t>
      </w:r>
      <w:r>
        <w:rPr>
          <w:color w:val="7030A0"/>
        </w:rPr>
        <w:t xml:space="preserve"> </w:t>
      </w:r>
      <w:r>
        <w:rPr>
          <w:color w:val="7030A0"/>
        </w:rPr>
        <w:t xml:space="preserve">“</w:t>
      </w:r>
      <w:r>
        <w:rPr>
          <w:color w:val="7030A0"/>
        </w:rPr>
        <w:t xml:space="preserve">Cross-study synthesis and the role of context</w:t>
      </w:r>
      <w:r>
        <w:rPr>
          <w:color w:val="7030A0"/>
        </w:rPr>
        <w:t xml:space="preserve">”</w:t>
      </w:r>
      <w:r>
        <w:rPr>
          <w:color w:val="7030A0"/>
        </w:rPr>
        <w:t xml:space="preserve">. Section 7.2.1 sets out how the studies are linked and the mechanisms they share, with Figure [new-1]. Section 7.2.2 examines the country-specific factors that underlie the findings of each study and compares the three settings in Table [new-2]. Section 7.2.3 assesses which elements of the findings can be transferred to other contexts, which are conditionally transferable, and which must be re-estimated with local data (Table [new-3]). Table [new-4] compares China and Singapore with the European sample on the national innovation indicators used in Chapter 4.</w:t>
      </w:r>
    </w:p>
    <w:p>
      <w:pPr>
        <w:pStyle w:val="BodyText"/>
      </w:pPr>
      <w:r>
        <w:rPr>
          <w:color w:val="7030A0"/>
        </w:rPr>
        <w:t xml:space="preserve">Finally, we have rewritten the limitation on p. 193, now in Section 7.4, so that each limitation is tied to its own chapter and context and is stated as a consequence of a deliberate design choice. It now begins:</w:t>
      </w:r>
      <w:r>
        <w:rPr>
          <w:color w:val="7030A0"/>
        </w:rPr>
        <w:t xml:space="preserve"> </w:t>
      </w:r>
      <w:r>
        <w:rPr>
          <w:color w:val="7030A0"/>
        </w:rPr>
        <w:t xml:space="preserve">“</w:t>
      </w:r>
      <w:r>
        <w:rPr>
          <w:color w:val="7030A0"/>
        </w:rPr>
        <w:t xml:space="preserve">Each arises from the context of a particular study rather than from the thesis as a whole. As explained in Section 1.4, the three empirical studies were deliberately located in different settings…</w:t>
      </w:r>
      <w:r>
        <w:rPr>
          <w:color w:val="7030A0"/>
        </w:rPr>
        <w:t xml:space="preserve">”</w:t>
      </w:r>
      <w:r>
        <w:rPr>
          <w:color w:val="7030A0"/>
        </w:rPr>
        <w:t xml:space="preserve">. On Chapter 4, it states:</w:t>
      </w:r>
      <w:r>
        <w:rPr>
          <w:color w:val="7030A0"/>
        </w:rPr>
        <w:t xml:space="preserve"> </w:t>
      </w:r>
      <w:r>
        <w:rPr>
          <w:color w:val="7030A0"/>
        </w:rPr>
        <w:t xml:space="preserve">“</w:t>
      </w:r>
      <w:r>
        <w:rPr>
          <w:color w:val="7030A0"/>
        </w:rPr>
        <w:t xml:space="preserve">This caution concerns the application of the Chapter 4 relationships outside Europe, including in China and Singapore… It does not affect the validity of Chapters 5 and 6, which do not rely on the Chapter 4 estimates and are based on their own data (Section 7.2.3).</w:t>
      </w:r>
      <w:r>
        <w:rPr>
          <w:color w:val="7030A0"/>
        </w:rPr>
        <w:t xml:space="preserve">”</w:t>
      </w:r>
      <w:r>
        <w:rPr>
          <w:color w:val="7030A0"/>
        </w:rPr>
        <w:t xml:space="preserve"> </w:t>
      </w:r>
      <w:r>
        <w:rPr>
          <w:color w:val="7030A0"/>
        </w:rPr>
        <w:t xml:space="preserve">The corresponding limitations for the Chinese terminals (Chapter 5) and the Singapore harbour craft (Chapter 6) are stated in the same way. For consistency, we have also revised the first limitation in Section 4.6, which described the European sample as</w:t>
      </w:r>
      <w:r>
        <w:rPr>
          <w:color w:val="7030A0"/>
        </w:rPr>
        <w:t xml:space="preserve"> </w:t>
      </w:r>
      <w:r>
        <w:rPr>
          <w:color w:val="7030A0"/>
        </w:rPr>
        <w:t xml:space="preserve">“</w:t>
      </w:r>
      <w:r>
        <w:rPr>
          <w:color w:val="7030A0"/>
        </w:rPr>
        <w:t xml:space="preserve">relatively homogeneous</w:t>
      </w:r>
      <w:r>
        <w:rPr>
          <w:color w:val="7030A0"/>
        </w:rPr>
        <w:t xml:space="preserve">”</w:t>
      </w:r>
      <w:r>
        <w:rPr>
          <w:color w:val="7030A0"/>
        </w:rPr>
        <w:t xml:space="preserve">, and added a qualification to Section 7.1.2 explaining that the application of the Chapter 4 and Chapter 5 relationships to Singapore relies on their frameworks and expected direction, and that their coefficients would need to be re-estimated with Singaporean data. The main changes are summarised below.</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color w:val="7030A0"/>
                <w:sz w:val="18"/>
              </w:rPr>
              <w:t xml:space="preserve">Section</w:t>
            </w:r>
          </w:p>
        </w:tc>
        <w:tc>
          <w:tcPr/>
          <w:p>
            <w:pPr>
              <w:pStyle w:val="Compact"/>
              <w:jc w:val="left"/>
            </w:pPr>
            <w:r>
              <w:rPr>
                <w:color w:val="7030A0"/>
                <w:sz w:val="18"/>
              </w:rPr>
              <w:t xml:space="preserve">Change</w:t>
            </w:r>
          </w:p>
        </w:tc>
      </w:tr>
      <w:tr>
        <w:tc>
          <w:tcPr/>
          <w:p>
            <w:pPr>
              <w:pStyle w:val="Compact"/>
              <w:jc w:val="left"/>
            </w:pPr>
            <w:r>
              <w:rPr>
                <w:color w:val="7030A0"/>
                <w:sz w:val="18"/>
              </w:rPr>
              <w:t xml:space="preserve">Summary; 1.2 (opening paragraph, Objectives 2–4); 1.7</w:t>
            </w:r>
          </w:p>
        </w:tc>
        <w:tc>
          <w:tcPr/>
          <w:p>
            <w:pPr>
              <w:pStyle w:val="Compact"/>
              <w:jc w:val="left"/>
            </w:pPr>
            <w:r>
              <w:rPr>
                <w:color w:val="7030A0"/>
                <w:sz w:val="18"/>
              </w:rPr>
              <w:t xml:space="preserve">Settings of the three studies named; multi-level, multi-context design stated</w:t>
            </w:r>
          </w:p>
        </w:tc>
      </w:tr>
      <w:tr>
        <w:tc>
          <w:tcPr/>
          <w:p>
            <w:pPr>
              <w:pStyle w:val="Compact"/>
              <w:jc w:val="left"/>
            </w:pPr>
            <w:r>
              <w:rPr>
                <w:color w:val="7030A0"/>
                <w:sz w:val="18"/>
              </w:rPr>
              <w:t xml:space="preserve">1.4 (new), Table [new-1]</w:t>
            </w:r>
          </w:p>
        </w:tc>
        <w:tc>
          <w:tcPr/>
          <w:p>
            <w:pPr>
              <w:pStyle w:val="Compact"/>
              <w:jc w:val="left"/>
            </w:pPr>
            <w:r>
              <w:rPr>
                <w:color w:val="7030A0"/>
                <w:sz w:val="18"/>
              </w:rPr>
              <w:t xml:space="preserve">Rationale for the European, Chinese and Singapore settings</w:t>
            </w:r>
          </w:p>
        </w:tc>
      </w:tr>
      <w:tr>
        <w:tc>
          <w:tcPr/>
          <w:p>
            <w:pPr>
              <w:pStyle w:val="Compact"/>
              <w:jc w:val="left"/>
            </w:pPr>
            <w:r>
              <w:rPr>
                <w:color w:val="7030A0"/>
                <w:sz w:val="18"/>
              </w:rPr>
              <w:t xml:space="preserve">Chapter 5 introduction; 5.3.2</w:t>
            </w:r>
          </w:p>
        </w:tc>
        <w:tc>
          <w:tcPr/>
          <w:p>
            <w:pPr>
              <w:pStyle w:val="Compact"/>
              <w:jc w:val="left"/>
            </w:pPr>
            <w:r>
              <w:rPr>
                <w:color w:val="7030A0"/>
                <w:sz w:val="18"/>
              </w:rPr>
              <w:t xml:space="preserve">China stated as the setting of the organisational-level study; Chinese institutional context added</w:t>
            </w:r>
          </w:p>
        </w:tc>
      </w:tr>
      <w:tr>
        <w:tc>
          <w:tcPr/>
          <w:p>
            <w:pPr>
              <w:pStyle w:val="Compact"/>
              <w:jc w:val="left"/>
            </w:pPr>
            <w:r>
              <w:rPr>
                <w:color w:val="7030A0"/>
                <w:sz w:val="18"/>
              </w:rPr>
              <w:t xml:space="preserve">5.6</w:t>
            </w:r>
          </w:p>
        </w:tc>
        <w:tc>
          <w:tcPr/>
          <w:p>
            <w:pPr>
              <w:pStyle w:val="Compact"/>
              <w:jc w:val="left"/>
            </w:pPr>
            <w:r>
              <w:rPr>
                <w:color w:val="7030A0"/>
                <w:sz w:val="18"/>
              </w:rPr>
              <w:t xml:space="preserve">Limitation on government incentives at terminal level; future research using provincial variation</w:t>
            </w:r>
          </w:p>
        </w:tc>
      </w:tr>
      <w:tr>
        <w:tc>
          <w:tcPr/>
          <w:p>
            <w:pPr>
              <w:pStyle w:val="Compact"/>
              <w:jc w:val="left"/>
            </w:pPr>
            <w:r>
              <w:rPr>
                <w:color w:val="7030A0"/>
                <w:sz w:val="18"/>
              </w:rPr>
              <w:t xml:space="preserve">4.6</w:t>
            </w:r>
          </w:p>
        </w:tc>
        <w:tc>
          <w:tcPr/>
          <w:p>
            <w:pPr>
              <w:pStyle w:val="Compact"/>
              <w:jc w:val="left"/>
            </w:pPr>
            <w:r>
              <w:rPr>
                <w:color w:val="7030A0"/>
                <w:sz w:val="18"/>
              </w:rPr>
              <w:t xml:space="preserve">Description of the European sample aligned with Section 1.4</w:t>
            </w:r>
          </w:p>
        </w:tc>
      </w:tr>
      <w:tr>
        <w:tc>
          <w:tcPr/>
          <w:p>
            <w:pPr>
              <w:pStyle w:val="Compact"/>
              <w:jc w:val="left"/>
            </w:pPr>
            <w:r>
              <w:rPr>
                <w:color w:val="7030A0"/>
                <w:sz w:val="18"/>
              </w:rPr>
              <w:t xml:space="preserve">7.1.2</w:t>
            </w:r>
          </w:p>
        </w:tc>
        <w:tc>
          <w:tcPr/>
          <w:p>
            <w:pPr>
              <w:pStyle w:val="Compact"/>
              <w:jc w:val="left"/>
            </w:pPr>
            <w:r>
              <w:rPr>
                <w:color w:val="7030A0"/>
                <w:sz w:val="18"/>
              </w:rPr>
              <w:t xml:space="preserve">Qualification on applying Chapter 4 and 5 relationships to Singapore</w:t>
            </w:r>
          </w:p>
        </w:tc>
      </w:tr>
      <w:tr>
        <w:tc>
          <w:tcPr/>
          <w:p>
            <w:pPr>
              <w:pStyle w:val="Compact"/>
              <w:jc w:val="left"/>
            </w:pPr>
            <w:r>
              <w:rPr>
                <w:color w:val="7030A0"/>
                <w:sz w:val="18"/>
              </w:rPr>
              <w:t xml:space="preserve">7.2 (new), Figure [new-1], Tables [new-2]–[new-4]</w:t>
            </w:r>
          </w:p>
        </w:tc>
        <w:tc>
          <w:tcPr/>
          <w:p>
            <w:pPr>
              <w:pStyle w:val="Compact"/>
              <w:jc w:val="left"/>
            </w:pPr>
            <w:r>
              <w:rPr>
                <w:color w:val="7030A0"/>
                <w:sz w:val="18"/>
              </w:rPr>
              <w:t xml:space="preserve">Synthesis, country-specific factors, transferability</w:t>
            </w:r>
          </w:p>
        </w:tc>
      </w:tr>
      <w:tr>
        <w:tc>
          <w:tcPr/>
          <w:p>
            <w:pPr>
              <w:pStyle w:val="Compact"/>
              <w:jc w:val="left"/>
            </w:pPr>
            <w:r>
              <w:rPr>
                <w:color w:val="7030A0"/>
                <w:sz w:val="18"/>
              </w:rPr>
              <w:t xml:space="preserve">7.4 (old 7.3)</w:t>
            </w:r>
          </w:p>
        </w:tc>
        <w:tc>
          <w:tcPr/>
          <w:p>
            <w:pPr>
              <w:pStyle w:val="Compact"/>
              <w:jc w:val="left"/>
            </w:pPr>
            <w:r>
              <w:rPr>
                <w:color w:val="7030A0"/>
                <w:sz w:val="18"/>
              </w:rPr>
              <w:t xml:space="preserve">Limitations tied to each chapter and context; reference to Section 7.2.3</w:t>
            </w:r>
          </w:p>
        </w:tc>
      </w:tr>
    </w:tbl>
    <w:bookmarkEnd w:id="30"/>
    <w:bookmarkStart w:id="31" w:name="references"/>
    <w:p>
      <w:pPr>
        <w:pStyle w:val="Heading1"/>
      </w:pPr>
      <w:r>
        <w:t xml:space="preserve">REFERENCES</w:t>
      </w:r>
    </w:p>
    <w:p>
      <w:pPr>
        <w:pStyle w:val="BlockText"/>
      </w:pPr>
      <w:r>
        <w:rPr>
          <w:iCs/>
          <w:i/>
          <w:color w:val="606060"/>
        </w:rPr>
        <w:t xml:space="preserve">New entries for the reference list (APA 7). † = already in your list.</w:t>
      </w:r>
      <w:r>
        <w:rPr>
          <w:iCs/>
          <w:i/>
          <w:color w:val="606060"/>
        </w:rPr>
        <w:t xml:space="preserve"> </w:t>
      </w:r>
      <w:r>
        <w:rPr>
          <w:iCs/>
          <w:i/>
          <w:color w:val="606060"/>
        </w:rPr>
        <w:t xml:space="preserve">“</w:t>
      </w:r>
      <w:r>
        <w:rPr>
          <w:iCs/>
          <w:i/>
          <w:color w:val="606060"/>
        </w:rPr>
        <w:t xml:space="preserve">(file 01)</w:t>
      </w:r>
      <w:r>
        <w:rPr>
          <w:iCs/>
          <w:i/>
          <w:color w:val="606060"/>
        </w:rPr>
        <w:t xml:space="preserve">”</w:t>
      </w:r>
      <w:r>
        <w:rPr>
          <w:iCs/>
          <w:i/>
          <w:color w:val="606060"/>
        </w:rPr>
        <w:t xml:space="preserve"> </w:t>
      </w:r>
      <w:r>
        <w:rPr>
          <w:iCs/>
          <w:i/>
          <w:color w:val="606060"/>
        </w:rPr>
        <w:t xml:space="preserve">= already added by file 01, so do not add it twice. Two fixes to your existing list: (1) the Lee and Flynn (2011) entry is listed as</w:t>
      </w:r>
      <w:r>
        <w:rPr>
          <w:iCs/>
          <w:i/>
          <w:color w:val="606060"/>
        </w:rPr>
        <w:t xml:space="preserve"> </w:t>
      </w:r>
      <w:r>
        <w:rPr>
          <w:iCs/>
          <w:i/>
          <w:color w:val="606060"/>
        </w:rPr>
        <w:t xml:space="preserve">“</w:t>
      </w:r>
      <w:r>
        <w:rPr>
          <w:iCs/>
          <w:i/>
          <w:color w:val="606060"/>
        </w:rPr>
        <w:t xml:space="preserve">Tae-Woo Lee, P., &amp; Flynn, M.</w:t>
      </w:r>
      <w:r>
        <w:rPr>
          <w:iCs/>
          <w:i/>
          <w:color w:val="606060"/>
        </w:rPr>
        <w:t xml:space="preserve">”</w:t>
      </w:r>
      <w:r>
        <w:rPr>
          <w:iCs/>
          <w:i/>
          <w:color w:val="606060"/>
        </w:rPr>
        <w:t xml:space="preserve">; it should be</w:t>
      </w:r>
      <w:r>
        <w:rPr>
          <w:iCs/>
          <w:i/>
          <w:color w:val="606060"/>
        </w:rPr>
        <w:t xml:space="preserve"> </w:t>
      </w:r>
      <w:r>
        <w:rPr>
          <w:iCs/>
          <w:i/>
          <w:color w:val="606060"/>
        </w:rPr>
        <w:t xml:space="preserve">“</w:t>
      </w:r>
      <w:r>
        <w:rPr>
          <w:iCs/>
          <w:i/>
          <w:color w:val="606060"/>
        </w:rPr>
        <w:t xml:space="preserve">Lee, P. T.-W., &amp; Flynn, M.</w:t>
      </w:r>
      <w:r>
        <w:rPr>
          <w:iCs/>
          <w:i/>
          <w:color w:val="606060"/>
        </w:rPr>
        <w:t xml:space="preserve">”</w:t>
      </w:r>
      <w:r>
        <w:rPr>
          <w:iCs/>
          <w:i/>
          <w:color w:val="606060"/>
        </w:rPr>
        <w:t xml:space="preserve"> </w:t>
      </w:r>
      <w:r>
        <w:rPr>
          <w:iCs/>
          <w:i/>
          <w:color w:val="606060"/>
        </w:rPr>
        <w:t xml:space="preserve">(2) The China Ports Yearbook, your Chapter 5 data source, is still missing from the list (as noted in file 01); please add it with the editor, publisher and the edition years you used.</w:t>
      </w:r>
    </w:p>
    <w:p>
      <w:pPr>
        <w:pStyle w:val="FirstParagraph"/>
      </w:pPr>
      <w:r>
        <w:rPr>
          <w:color w:val="7030A0"/>
        </w:rPr>
        <w:t xml:space="preserve">Aritua, B., Chiu, H., Cheng, L., Farrell, S., &amp; de Langen, P. (2022).</w:t>
      </w:r>
      <w:r>
        <w:rPr>
          <w:color w:val="7030A0"/>
        </w:rPr>
        <w:t xml:space="preserve"> </w:t>
      </w:r>
      <w:r>
        <w:rPr>
          <w:iCs/>
          <w:i/>
          <w:color w:val="7030A0"/>
        </w:rPr>
        <w:t xml:space="preserve">Developing China’s ports: How the gateways to economic prosperity were revived</w:t>
      </w:r>
      <w:r>
        <w:rPr>
          <w:color w:val="7030A0"/>
        </w:rPr>
        <w:t xml:space="preserve">. International Development in Focus. World Bank. http://hdl.handle.net/10986/37445</w:t>
      </w:r>
    </w:p>
    <w:p>
      <w:pPr>
        <w:pStyle w:val="BodyText"/>
      </w:pPr>
      <w:r>
        <w:rPr>
          <w:color w:val="7030A0"/>
        </w:rPr>
        <w:t xml:space="preserve">Cullinane, K., &amp; Wang, T.-F. (2006). Port governance in China.</w:t>
      </w:r>
      <w:r>
        <w:rPr>
          <w:color w:val="7030A0"/>
        </w:rPr>
        <w:t xml:space="preserve"> </w:t>
      </w:r>
      <w:r>
        <w:rPr>
          <w:iCs/>
          <w:i/>
          <w:color w:val="7030A0"/>
        </w:rPr>
        <w:t xml:space="preserve">Research in Transportation Economics, 17</w:t>
      </w:r>
      <w:r>
        <w:rPr>
          <w:color w:val="7030A0"/>
        </w:rPr>
        <w:t xml:space="preserve">, 331–356. https://doi.org/10.1016/S0739-8859(06)17015-8 (DOI and year confirmed from the RePEc record; some later papers cite it as 2007, which appears to be a citation error)</w:t>
      </w:r>
    </w:p>
    <w:p>
      <w:pPr>
        <w:pStyle w:val="BodyText"/>
      </w:pPr>
      <w:r>
        <w:rPr>
          <w:color w:val="7030A0"/>
        </w:rPr>
        <w:t xml:space="preserve">European Commission. (2024).</w:t>
      </w:r>
      <w:r>
        <w:rPr>
          <w:color w:val="7030A0"/>
        </w:rPr>
        <w:t xml:space="preserve"> </w:t>
      </w:r>
      <w:r>
        <w:rPr>
          <w:iCs/>
          <w:i/>
          <w:color w:val="7030A0"/>
        </w:rPr>
        <w:t xml:space="preserve">European Innovation Scoreboard 2024</w:t>
      </w:r>
      <w:r>
        <w:rPr>
          <w:color w:val="7030A0"/>
        </w:rPr>
        <w:t xml:space="preserve">. Publications Office of the European Union. https://research-and-innovation.ec.europa.eu/statistics/performance-indicators/european-innovation-scoreboard_en (file 01)</w:t>
      </w:r>
    </w:p>
    <w:p>
      <w:pPr>
        <w:pStyle w:val="BodyText"/>
      </w:pPr>
      <w:r>
        <w:rPr>
          <w:color w:val="7030A0"/>
        </w:rPr>
        <w:t xml:space="preserve">Huo, W., Zhang, W., &amp; Chen, P. S.-L. (2018). Recent development of Chinese port cooperation strategies.</w:t>
      </w:r>
      <w:r>
        <w:rPr>
          <w:color w:val="7030A0"/>
        </w:rPr>
        <w:t xml:space="preserve"> </w:t>
      </w:r>
      <w:r>
        <w:rPr>
          <w:iCs/>
          <w:i/>
          <w:color w:val="7030A0"/>
        </w:rPr>
        <w:t xml:space="preserve">Research in Transportation Business &amp; Management, 26</w:t>
      </w:r>
      <w:r>
        <w:rPr>
          <w:color w:val="7030A0"/>
        </w:rPr>
        <w:t xml:space="preserve">, 67–75. https://doi.org/10.1016/j.rtbm.2018.01.002</w:t>
      </w:r>
    </w:p>
    <w:p>
      <w:pPr>
        <w:pStyle w:val="BodyText"/>
      </w:pPr>
      <w:r>
        <w:rPr>
          <w:color w:val="7030A0"/>
        </w:rPr>
        <w:t xml:space="preserve">Lee, P. T.-W., &amp; Flynn, M. (2011). Charting a new paradigm of container hub port development policy: The Asian doctrine.</w:t>
      </w:r>
      <w:r>
        <w:rPr>
          <w:color w:val="7030A0"/>
        </w:rPr>
        <w:t xml:space="preserve"> </w:t>
      </w:r>
      <w:r>
        <w:rPr>
          <w:iCs/>
          <w:i/>
          <w:color w:val="7030A0"/>
        </w:rPr>
        <w:t xml:space="preserve">Transport Reviews, 31</w:t>
      </w:r>
      <w:r>
        <w:rPr>
          <w:color w:val="7030A0"/>
        </w:rPr>
        <w:t xml:space="preserve">(6), 791–806. https://doi.org/10.1080/01441647.2011.597005 †</w:t>
      </w:r>
    </w:p>
    <w:p>
      <w:pPr>
        <w:pStyle w:val="BodyText"/>
      </w:pPr>
      <w:r>
        <w:rPr>
          <w:color w:val="7030A0"/>
        </w:rPr>
        <w:t xml:space="preserve">MPA Singapore. (2024b, April).</w:t>
      </w:r>
      <w:r>
        <w:rPr>
          <w:color w:val="7030A0"/>
        </w:rPr>
        <w:t xml:space="preserve"> </w:t>
      </w:r>
      <w:r>
        <w:rPr>
          <w:iCs/>
          <w:i/>
          <w:color w:val="7030A0"/>
        </w:rPr>
        <w:t xml:space="preserve">Singapore gears up to meet net-zero needs of shipping</w:t>
      </w:r>
      <w:r>
        <w:rPr>
          <w:color w:val="7030A0"/>
        </w:rPr>
        <w:t xml:space="preserve"> </w:t>
      </w:r>
      <w:r>
        <w:rPr>
          <w:color w:val="7030A0"/>
        </w:rPr>
        <w:t xml:space="preserve">[Media release]. Maritime and Port Authority of Singapore. https://www.mpa.gov.sg/media-centre/details/singapore-gears-up-to-meet-net-zero-needs-of-shipping (file 01)</w:t>
      </w:r>
    </w:p>
    <w:p>
      <w:pPr>
        <w:pStyle w:val="BodyText"/>
      </w:pPr>
      <w:r>
        <w:rPr>
          <w:color w:val="7030A0"/>
        </w:rPr>
        <w:t xml:space="preserve">MPA Singapore. (2026a, January).</w:t>
      </w:r>
      <w:r>
        <w:rPr>
          <w:color w:val="7030A0"/>
        </w:rPr>
        <w:t xml:space="preserve"> </w:t>
      </w:r>
      <w:r>
        <w:rPr>
          <w:iCs/>
          <w:i/>
          <w:color w:val="7030A0"/>
        </w:rPr>
        <w:t xml:space="preserve">Singapore posts record port performance in 2025 and develops future readiness through industry collaborations for 2026</w:t>
      </w:r>
      <w:r>
        <w:rPr>
          <w:color w:val="7030A0"/>
        </w:rPr>
        <w:t xml:space="preserve"> </w:t>
      </w:r>
      <w:r>
        <w:rPr>
          <w:color w:val="7030A0"/>
        </w:rPr>
        <w:t xml:space="preserve">[Media release]. Maritime and Port Authority of Singapore. https://www.mpa.gov.sg/media-centre/details/singapore-posts-record-port-performance-in-2025-and-develops-future-readiness-through-industry-collaborations-for-2026 (file 01)</w:t>
      </w:r>
    </w:p>
    <w:p>
      <w:pPr>
        <w:pStyle w:val="BodyText"/>
      </w:pPr>
      <w:r>
        <w:rPr>
          <w:color w:val="7030A0"/>
        </w:rPr>
        <w:t xml:space="preserve">MPA Singapore. (2026b).</w:t>
      </w:r>
      <w:r>
        <w:rPr>
          <w:color w:val="7030A0"/>
        </w:rPr>
        <w:t xml:space="preserve"> </w:t>
      </w:r>
      <w:r>
        <w:rPr>
          <w:iCs/>
          <w:i/>
          <w:color w:val="7030A0"/>
        </w:rPr>
        <w:t xml:space="preserve">Singapore retains position as world’s leading maritime centre for 13th consecutive year</w:t>
      </w:r>
      <w:r>
        <w:rPr>
          <w:color w:val="7030A0"/>
        </w:rPr>
        <w:t xml:space="preserve"> </w:t>
      </w:r>
      <w:r>
        <w:rPr>
          <w:color w:val="7030A0"/>
        </w:rPr>
        <w:t xml:space="preserve">[Media release]. Maritime and Port Authority of Singapore. https://www.mpa.gov.sg/media-centre/details/singapore-retains-position-as-worlds-leading-maritime-centre-for-13th-consecutive-year (file 01)</w:t>
      </w:r>
    </w:p>
    <w:p>
      <w:pPr>
        <w:pStyle w:val="BodyText"/>
      </w:pPr>
      <w:r>
        <w:rPr>
          <w:color w:val="7030A0"/>
        </w:rPr>
        <w:t xml:space="preserve">Notteboom, T., &amp; Yang, Z. (2017). Port governance in China since 2004: Institutional layering and the growing impact of broader policies.</w:t>
      </w:r>
      <w:r>
        <w:rPr>
          <w:color w:val="7030A0"/>
        </w:rPr>
        <w:t xml:space="preserve"> </w:t>
      </w:r>
      <w:r>
        <w:rPr>
          <w:iCs/>
          <w:i/>
          <w:color w:val="7030A0"/>
        </w:rPr>
        <w:t xml:space="preserve">Research in Transportation Business &amp; Management, 22</w:t>
      </w:r>
      <w:r>
        <w:rPr>
          <w:color w:val="7030A0"/>
        </w:rPr>
        <w:t xml:space="preserve">, 184–200. https://doi.org/10.1016/j.rtbm.2016.09.002 (file 01)</w:t>
      </w:r>
    </w:p>
    <w:p>
      <w:pPr>
        <w:pStyle w:val="BodyText"/>
      </w:pPr>
      <w:r>
        <w:rPr>
          <w:color w:val="7030A0"/>
        </w:rPr>
        <w:t xml:space="preserve">UNCTAD. (2025).</w:t>
      </w:r>
      <w:r>
        <w:rPr>
          <w:color w:val="7030A0"/>
        </w:rPr>
        <w:t xml:space="preserve"> </w:t>
      </w:r>
      <w:r>
        <w:rPr>
          <w:iCs/>
          <w:i/>
          <w:color w:val="7030A0"/>
        </w:rPr>
        <w:t xml:space="preserve">Maritime profile: China</w:t>
      </w:r>
      <w:r>
        <w:rPr>
          <w:color w:val="7030A0"/>
        </w:rPr>
        <w:t xml:space="preserve">. UNCTADstat. https://unctadstat.unctad.org/CountryProfile/MaritimeProfile/en-GB/156/index.html (file 01)</w:t>
      </w:r>
    </w:p>
    <w:p>
      <w:pPr>
        <w:pStyle w:val="BodyText"/>
      </w:pPr>
      <w:r>
        <w:rPr>
          <w:color w:val="7030A0"/>
        </w:rPr>
        <w:t xml:space="preserve">Wang, J. J., Ng, A. K.-Y., &amp; Olivier, D. (2004). Port governance in China: A review of policies in an era of internationalizing port management practices.</w:t>
      </w:r>
      <w:r>
        <w:rPr>
          <w:color w:val="7030A0"/>
        </w:rPr>
        <w:t xml:space="preserve"> </w:t>
      </w:r>
      <w:r>
        <w:rPr>
          <w:iCs/>
          <w:i/>
          <w:color w:val="7030A0"/>
        </w:rPr>
        <w:t xml:space="preserve">Transport Policy, 11</w:t>
      </w:r>
      <w:r>
        <w:rPr>
          <w:color w:val="7030A0"/>
        </w:rPr>
        <w:t xml:space="preserve">(3), 237–250. https://doi.org/10.1016/j.tranpol.2003.11.003</w:t>
      </w:r>
    </w:p>
    <w:p>
      <w:pPr>
        <w:pStyle w:val="BodyText"/>
      </w:pPr>
      <w:r>
        <w:rPr>
          <w:color w:val="7030A0"/>
        </w:rPr>
        <w:t xml:space="preserve">World Bank. (2023).</w:t>
      </w:r>
      <w:r>
        <w:rPr>
          <w:color w:val="7030A0"/>
        </w:rPr>
        <w:t xml:space="preserve"> </w:t>
      </w:r>
      <w:r>
        <w:rPr>
          <w:iCs/>
          <w:i/>
          <w:color w:val="7030A0"/>
        </w:rPr>
        <w:t xml:space="preserve">Connecting to compete 2023: Trade logistics in an uncertain global economy — The Logistics Performance Index and its indicators</w:t>
      </w:r>
      <w:r>
        <w:rPr>
          <w:color w:val="7030A0"/>
        </w:rPr>
        <w:t xml:space="preserve">. World Bank. https://lpi.worldbank.org/index.php/international/global (file 01)</w:t>
      </w:r>
    </w:p>
    <w:p>
      <w:pPr>
        <w:pStyle w:val="BodyText"/>
      </w:pPr>
      <w:r>
        <w:rPr>
          <w:color w:val="7030A0"/>
        </w:rPr>
        <w:t xml:space="preserve">Xinhua. (2019, November 13).</w:t>
      </w:r>
      <w:r>
        <w:rPr>
          <w:color w:val="7030A0"/>
        </w:rPr>
        <w:t xml:space="preserve"> </w:t>
      </w:r>
      <w:r>
        <w:rPr>
          <w:iCs/>
          <w:i/>
          <w:color w:val="7030A0"/>
        </w:rPr>
        <w:t xml:space="preserve">China releases guideline to build world-class ports</w:t>
      </w:r>
      <w:r>
        <w:rPr>
          <w:color w:val="7030A0"/>
        </w:rPr>
        <w:t xml:space="preserve">. The State Council of the People’s Republic of China. https://english.www.gov.cn/statecouncil/ministries/201911/13/content_WS5dcbaf0dc6d0bcf8c4c1702d.html</w:t>
      </w:r>
    </w:p>
    <w:p>
      <w:pPr>
        <w:pStyle w:val="BodyText"/>
      </w:pPr>
      <w:r>
        <w:rPr>
          <w:color w:val="7030A0"/>
        </w:rPr>
        <w:t xml:space="preserve">Xinhua. (2025, April 14).</w:t>
      </w:r>
      <w:r>
        <w:rPr>
          <w:color w:val="7030A0"/>
        </w:rPr>
        <w:t xml:space="preserve"> </w:t>
      </w:r>
      <w:r>
        <w:rPr>
          <w:iCs/>
          <w:i/>
          <w:color w:val="7030A0"/>
        </w:rPr>
        <w:t xml:space="preserve">China Focus: Ports get smarter with automation push</w:t>
      </w:r>
      <w:r>
        <w:rPr>
          <w:color w:val="7030A0"/>
        </w:rPr>
        <w:t xml:space="preserve">. Xinhua News Agency. https://english.news.cn/20250414/18723fb7c6b841489a6e1809bd757ca6/c.html (file 01)</w:t>
      </w:r>
    </w:p>
    <w:p>
      <w:pPr>
        <w:pStyle w:val="BodyText"/>
      </w:pPr>
      <w:r>
        <w:rPr>
          <w:color w:val="7030A0"/>
        </w:rPr>
        <w:t xml:space="preserve">Yu, T., Li, H., Zhou, T., Zhao, N., &amp; Yang, Z. (2025). Evaluation and strategy development of port-industry-city integration: A China’s case.</w:t>
      </w:r>
      <w:r>
        <w:rPr>
          <w:color w:val="7030A0"/>
        </w:rPr>
        <w:t xml:space="preserve"> </w:t>
      </w:r>
      <w:r>
        <w:rPr>
          <w:iCs/>
          <w:i/>
          <w:color w:val="7030A0"/>
        </w:rPr>
        <w:t xml:space="preserve">Research in Transportation Business &amp; Management, 60</w:t>
      </w:r>
      <w:r>
        <w:rPr>
          <w:color w:val="7030A0"/>
        </w:rPr>
        <w:t xml:space="preserve">, 101375. https://doi.org/10.1016/j.rtbm.2025.101375</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draft — Reviewer 3: country settings and the Chapter 7 limitation</dc:title>
  <dc:creator/>
  <cp:keywords/>
  <dcterms:created xsi:type="dcterms:W3CDTF">2026-10-12T03:15:17Z</dcterms:created>
  <dcterms:modified xsi:type="dcterms:W3CDTF">2026-10-12T03:15:17Z</dcterms:modified>
</cp:coreProperties>
</file>

<file path=docProps/custom.xml><?xml version="1.0" encoding="utf-8"?>
<Properties xmlns="http://schemas.openxmlformats.org/officeDocument/2006/custom-properties" xmlns:vt="http://schemas.openxmlformats.org/officeDocument/2006/docPropsVTypes"/>
</file>