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4,</w:t>
      </w:r>
      <w:r>
        <w:t xml:space="preserve"> </w:t>
      </w:r>
      <w:r>
        <w:t xml:space="preserve">Chapter</w:t>
      </w:r>
      <w:r>
        <w:t xml:space="preserve"> </w:t>
      </w:r>
      <w:r>
        <w:t xml:space="preserve">4:</w:t>
      </w:r>
      <w:r>
        <w:t xml:space="preserve"> </w:t>
      </w:r>
      <w:r>
        <w:t xml:space="preserve">project</w:t>
      </w:r>
      <w:r>
        <w:t xml:space="preserve"> </w:t>
      </w:r>
      <w:r>
        <w:t xml:space="preserve">cost</w:t>
      </w:r>
      <w:r>
        <w:t xml:space="preserve"> </w:t>
      </w:r>
      <w:r>
        <w:t xml:space="preserve">as</w:t>
      </w:r>
      <w:r>
        <w:t xml:space="preserve"> </w:t>
      </w:r>
      <w:r>
        <w:t xml:space="preserve">an</w:t>
      </w:r>
      <w:r>
        <w:t xml:space="preserve"> </w:t>
      </w:r>
      <w:r>
        <w:t xml:space="preserve">indicator</w:t>
      </w:r>
      <w:r>
        <w:t xml:space="preserve"> </w:t>
      </w:r>
      <w:r>
        <w:t xml:space="preserve">of</w:t>
      </w:r>
      <w:r>
        <w:t xml:space="preserve"> </w:t>
      </w:r>
      <w:r>
        <w:t xml:space="preserve">participation</w:t>
      </w:r>
      <w:r>
        <w:t xml:space="preserve"> </w:t>
      </w:r>
      <w:r>
        <w:t xml:space="preserve">(PT)</w:t>
      </w:r>
    </w:p>
    <w:p>
      <w:pPr>
        <w:pStyle w:val="BlockText"/>
      </w:pPr>
      <w:r>
        <w:rPr>
          <w:iCs/>
          <w:i/>
          <w:color w:val="606060"/>
        </w:rPr>
        <w:t xml:space="preserve">Examiner’s comment:</w:t>
      </w:r>
      <w:r>
        <w:rPr>
          <w:iCs/>
          <w:i/>
          <w:color w:val="606060"/>
        </w:rPr>
        <w:t xml:space="preserve"> </w:t>
      </w:r>
      <w:r>
        <w:rPr>
          <w:iCs/>
          <w:i/>
          <w:color w:val="606060"/>
        </w:rPr>
        <w:t xml:space="preserve">“</w:t>
      </w:r>
      <w:r>
        <w:rPr>
          <w:iCs/>
          <w:i/>
          <w:color w:val="606060"/>
        </w:rPr>
        <w:t xml:space="preserve">In Chapter 4, variable</w:t>
      </w:r>
      <w:r>
        <w:rPr>
          <w:iCs/>
          <w:i/>
          <w:color w:val="606060"/>
        </w:rPr>
        <w:t xml:space="preserve"> </w:t>
      </w:r>
      <w:r>
        <w:rPr>
          <w:iCs/>
          <w:i/>
          <w:color w:val="606060"/>
        </w:rPr>
        <w:t xml:space="preserve">‘</w:t>
      </w:r>
      <w:r>
        <w:rPr>
          <w:iCs/>
          <w:i/>
          <w:color w:val="606060"/>
        </w:rPr>
        <w:t xml:space="preserve">Level of participation in transport technology projects (PT)</w:t>
      </w:r>
      <w:r>
        <w:rPr>
          <w:iCs/>
          <w:i/>
          <w:color w:val="606060"/>
        </w:rPr>
        <w:t xml:space="preserve">’</w:t>
      </w:r>
      <w:r>
        <w:rPr>
          <w:iCs/>
          <w:i/>
          <w:color w:val="606060"/>
        </w:rPr>
        <w:t xml:space="preserve"> </w:t>
      </w:r>
      <w:r>
        <w:rPr>
          <w:iCs/>
          <w:i/>
          <w:color w:val="606060"/>
        </w:rPr>
        <w:t xml:space="preserve">is extracted from port projects, but as most port projects are infrastructure development as ports are capital intensive. Therefore, using port project costs as proxies for technologies tend to overestimate their value. This can be included in the discussion of limitations.</w:t>
      </w:r>
      <w:r>
        <w:rPr>
          <w:iCs/>
          <w:i/>
          <w:color w:val="606060"/>
        </w:rPr>
        <w:t xml:space="preserve">”</w:t>
      </w:r>
    </w:p>
    <w:p>
      <w:pPr>
        <w:pStyle w:val="BlockText"/>
      </w:pPr>
      <w:r>
        <w:rPr>
          <w:iCs/>
          <w:i/>
          <w:color w:val="606060"/>
        </w:rPr>
        <w:t xml:space="preserve">Approach: accept the comment. The revision (1) states explicitly what project cost measures and why it may overstate the value of technology, (2) describes the two features of the design that reduce this risk, namely the technology-oriented TRIMIS sample and the use of number and duration alongside cost, and (3) adds the limitation the examiner asks for, in Section 4.6 and Section 7.4. The two features are presented as context, not as a rebuttal: the text agrees that the overstatement can occur, explains how far the design reduces it, and asks the reader to interpret PT accordingly.</w:t>
      </w:r>
    </w:p>
    <w:p>
      <w:pPr>
        <w:pStyle w:val="BlockText"/>
      </w:pPr>
      <w:r>
        <w:rPr>
          <w:iCs/>
          <w:i/>
          <w:color w:val="606060"/>
        </w:rPr>
        <w:t xml:space="preserve">This file supersedes Part D2 of file 03, which contained an earlier, shorter version of the Section 4.3.1 and 4.6 text. Based on the old amended thesis; please check the anchors against your 10 Oct version. Notes to you are in grey italic boxes. Everything else is proposed thesis text, to be marked purple.</w:t>
      </w:r>
    </w:p>
    <w:bookmarkStart w:id="20" w:name="X8eb694b9408dff855fbaeca59f89d021d143358"/>
    <w:p>
      <w:pPr>
        <w:pStyle w:val="Heading1"/>
      </w:pPr>
      <w:r>
        <w:t xml:space="preserve">A. SECTION 4.3.1: NEW PARAGRAPH ON PROJECT COST</w:t>
      </w:r>
    </w:p>
    <w:p>
      <w:pPr>
        <w:pStyle w:val="BlockText"/>
      </w:pPr>
      <w:r>
        <w:rPr>
          <w:iCs/>
          <w:i/>
          <w:color w:val="606060"/>
        </w:rPr>
        <w:t xml:space="preserve">Insert after the paragraph that justifies total project cost as an indicator of participation, which ends</w:t>
      </w:r>
      <w:r>
        <w:rPr>
          <w:iCs/>
          <w:i/>
          <w:color w:val="606060"/>
        </w:rPr>
        <w:t xml:space="preserve"> </w:t>
      </w:r>
      <w:r>
        <w:rPr>
          <w:iCs/>
          <w:i/>
          <w:color w:val="606060"/>
        </w:rPr>
        <w:t xml:space="preserve">“</w:t>
      </w:r>
      <w:r>
        <w:rPr>
          <w:iCs/>
          <w:i/>
          <w:color w:val="606060"/>
        </w:rPr>
        <w:t xml:space="preserve">…total project cost serves as a dependent observed variable influenced by national-level innovation and technology-related capabilities.</w:t>
      </w:r>
      <w:r>
        <w:rPr>
          <w:iCs/>
          <w:i/>
          <w:color w:val="606060"/>
        </w:rPr>
        <w:t xml:space="preserve">”</w:t>
      </w:r>
      <w:r>
        <w:rPr>
          <w:iCs/>
          <w:i/>
          <w:color w:val="606060"/>
        </w:rPr>
        <w:t xml:space="preserve"> </w:t>
      </w:r>
      <w:r>
        <w:rPr>
          <w:iCs/>
          <w:i/>
          <w:color w:val="606060"/>
        </w:rPr>
        <w:t xml:space="preserve">Keep that paragraph and the following paragraph on project duration as they are.</w:t>
      </w:r>
    </w:p>
    <w:p>
      <w:pPr>
        <w:pStyle w:val="FirstParagraph"/>
      </w:pPr>
      <w:r>
        <w:rPr>
          <w:color w:val="7030A0"/>
        </w:rPr>
        <w:t xml:space="preserve">The use of project cost as an indicator nevertheless requires caution. Transport and port infrastructure is capital-intensive, and port investment is typically large and lumpy (Haralambides, 2002). Because most technologies are embodied in equipment and infrastructure (Section 2.1.2), the cost of a technology project includes the cost of the physical works, equipment and services involved, and not only the value of the technology itself. Even expenditure that is classified as R&amp;D includes capital spending on land, buildings, machinery and equipment used for research (OECD, 2015), and some transport infrastructure research and innovation projects include the construction of facilities, such as plants for LNG bunkering and storage (European Commission, 2023b). Total project cost may therefore overstate the value of the technology developed in the projects. For this reason, project cost is interpreted in this chapter as the scale of resources committed to technology-oriented projects, not as a measure of the value of technology. Two features of the data and the measurement design reduce, but do not remove, the risk of overstatement. First, the projects are not general infrastructure investments. They are drawn from TRIMIS, which records transport research and innovation projects (European Commission, 2023b), and they were screened to retain only projects whose activities involve developing, testing or deploying a technology (Section 4.3.3). Second, participation is measured by three indicators, the number of projects led, the total duration of participation and the total project cost, so the construct does not rely on cost alone. The remaining risk is acknowledged as a limitation in Section 4.6.</w:t>
      </w:r>
    </w:p>
    <w:bookmarkEnd w:id="20"/>
    <w:bookmarkStart w:id="21" w:name="X70122465bd2aeb08f7d626ea359dd16545a7cf6"/>
    <w:p>
      <w:pPr>
        <w:pStyle w:val="Heading1"/>
      </w:pPr>
      <w:r>
        <w:t xml:space="preserve">B. SECTION 4.3.3 DATA SAMPLING: ONE ADDED SENTENCE</w:t>
      </w:r>
    </w:p>
    <w:p>
      <w:pPr>
        <w:pStyle w:val="BlockText"/>
      </w:pPr>
      <w:r>
        <w:rPr>
          <w:iCs/>
          <w:i/>
          <w:color w:val="606060"/>
        </w:rPr>
        <w:t xml:space="preserve">Insert after the sentence</w:t>
      </w:r>
      <w:r>
        <w:rPr>
          <w:iCs/>
          <w:i/>
          <w:color w:val="606060"/>
        </w:rPr>
        <w:t xml:space="preserve"> </w:t>
      </w:r>
      <w:r>
        <w:rPr>
          <w:iCs/>
          <w:i/>
          <w:color w:val="606060"/>
        </w:rPr>
        <w:t xml:space="preserve">“</w:t>
      </w:r>
      <w:r>
        <w:rPr>
          <w:iCs/>
          <w:i/>
          <w:color w:val="606060"/>
        </w:rPr>
        <w:t xml:space="preserve">Initial search results were manually screened to exclude projects unrelated to tangible infrastructure development, such as pure paperwork projects on policy frameworks, regulatory standards, or theoretical studies and those lacking stakeholder participation, such as academic-only consortia.</w:t>
      </w:r>
      <w:r>
        <w:rPr>
          <w:iCs/>
          <w:i/>
          <w:color w:val="606060"/>
        </w:rPr>
        <w:t xml:space="preserve">”</w:t>
      </w:r>
      <w:r>
        <w:rPr>
          <w:iCs/>
          <w:i/>
          <w:color w:val="606060"/>
        </w:rPr>
        <w:t xml:space="preserve"> </w:t>
      </w:r>
      <w:r>
        <w:rPr>
          <w:iCs/>
          <w:i/>
          <w:color w:val="606060"/>
        </w:rPr>
        <w:t xml:space="preserve">Please check that the wording matches the screening you actually applied, and adjust it if necessary.</w:t>
      </w:r>
    </w:p>
    <w:p>
      <w:pPr>
        <w:pStyle w:val="FirstParagraph"/>
      </w:pPr>
      <w:r>
        <w:rPr>
          <w:color w:val="7030A0"/>
        </w:rPr>
        <w:t xml:space="preserve">The remaining projects were further checked to ensure that each involves the development, testing or deployment of a technology, so that the sample consists of technology-oriented projects rather than general infrastructure investments.</w:t>
      </w:r>
    </w:p>
    <w:bookmarkEnd w:id="21"/>
    <w:bookmarkStart w:id="22" w:name="Xcb53ffa566c87548ccefd4a2859189edff3cf6c"/>
    <w:p>
      <w:pPr>
        <w:pStyle w:val="Heading1"/>
      </w:pPr>
      <w:r>
        <w:t xml:space="preserve">C. SECTION 4.4.1 CONFIRMATORY FACTOR ANALYSIS: ADDED SENTENCES</w:t>
      </w:r>
    </w:p>
    <w:p>
      <w:pPr>
        <w:pStyle w:val="BlockText"/>
      </w:pPr>
      <w:r>
        <w:rPr>
          <w:iCs/>
          <w:i/>
          <w:color w:val="606060"/>
        </w:rPr>
        <w:t xml:space="preserve">Insert after the sentences reporting the comparison with the measurement model that excludes PT3 (</w:t>
      </w:r>
      <w:r>
        <w:rPr>
          <w:iCs/>
          <w:i/>
          <w:color w:val="606060"/>
        </w:rPr>
        <w:t xml:space="preserve">“</w:t>
      </w:r>
      <w:r>
        <w:rPr>
          <w:iCs/>
          <w:i/>
          <w:color w:val="606060"/>
        </w:rPr>
        <w:t xml:space="preserve">…supporting the retention of PT3 for theoretical completeness.</w:t>
      </w:r>
      <w:r>
        <w:rPr>
          <w:iCs/>
          <w:i/>
          <w:color w:val="606060"/>
        </w:rPr>
        <w:t xml:space="preserve">”</w:t>
      </w:r>
      <w:r>
        <w:rPr>
          <w:iCs/>
          <w:i/>
          <w:color w:val="606060"/>
        </w:rPr>
        <w:t xml:space="preserve">).</w:t>
      </w:r>
    </w:p>
    <w:p>
      <w:pPr>
        <w:pStyle w:val="FirstParagraph"/>
      </w:pPr>
      <w:r>
        <w:rPr>
          <w:color w:val="7030A0"/>
        </w:rPr>
        <w:t xml:space="preserve">PT3 also has the lowest loading of the three participation indicators (0.58; Table 10), so total project cost shares less variance with the participation construct than the number and duration of projects. In a reflective measurement model, the variation in an indicator that is not shared with the other indicators of the same construct is captured by that indicator’s error term rather than by the construct (Kline, 2016). Variation in project cost that reflects the capital intensity of individual projects rather than the breadth and continuity of participation is therefore partly separated from the participation construct, which reduces, although it does not eliminate, the influence of any overstatement on the estimated relationships.</w:t>
      </w:r>
    </w:p>
    <w:p>
      <w:pPr>
        <w:pStyle w:val="BlockText"/>
      </w:pPr>
      <w:r>
        <w:rPr>
          <w:iCs/>
          <w:i/>
          <w:color w:val="606060"/>
        </w:rPr>
        <w:t xml:space="preserve">If you have the structural results for the model without PT3, one more sentence would strengthen this further, for example:</w:t>
      </w:r>
      <w:r>
        <w:rPr>
          <w:iCs/>
          <w:i/>
          <w:color w:val="606060"/>
        </w:rPr>
        <w:t xml:space="preserve"> </w:t>
      </w:r>
      <w:r>
        <w:rPr>
          <w:iCs/>
          <w:i/>
          <w:color w:val="606060"/>
        </w:rPr>
        <w:t xml:space="preserve">“</w:t>
      </w:r>
      <w:r>
        <w:rPr>
          <w:iCs/>
          <w:i/>
          <w:color w:val="606060"/>
        </w:rPr>
        <w:t xml:space="preserve">When PT3 is excluded, the relationship between technology capability and participation remains positive and significant (β = [ ], p [ ]).</w:t>
      </w:r>
      <w:r>
        <w:rPr>
          <w:iCs/>
          <w:i/>
          <w:color w:val="606060"/>
        </w:rPr>
        <w:t xml:space="preserve">”</w:t>
      </w:r>
      <w:r>
        <w:rPr>
          <w:iCs/>
          <w:i/>
          <w:color w:val="606060"/>
        </w:rPr>
        <w:t xml:space="preserve"> </w:t>
      </w:r>
      <w:r>
        <w:rPr>
          <w:iCs/>
          <w:i/>
          <w:color w:val="606060"/>
        </w:rPr>
        <w:t xml:space="preserve">Please add it only if you have run that model.</w:t>
      </w:r>
    </w:p>
    <w:bookmarkEnd w:id="22"/>
    <w:bookmarkStart w:id="23" w:name="X5353d43bdd3aefc2f1eea9bf77d7f6ac3609b28"/>
    <w:p>
      <w:pPr>
        <w:pStyle w:val="Heading1"/>
      </w:pPr>
      <w:r>
        <w:t xml:space="preserve">D. SECTION 4.5.2 PORT CASE: ADDED SENTENCES</w:t>
      </w:r>
    </w:p>
    <w:p>
      <w:pPr>
        <w:pStyle w:val="BlockText"/>
      </w:pPr>
      <w:r>
        <w:rPr>
          <w:iCs/>
          <w:i/>
          <w:color w:val="606060"/>
        </w:rPr>
        <w:t xml:space="preserve">Insert after the paragraph defining the three indicators of participation in port technology projects.</w:t>
      </w:r>
    </w:p>
    <w:p>
      <w:pPr>
        <w:pStyle w:val="FirstParagraph"/>
      </w:pPr>
      <w:r>
        <w:rPr>
          <w:color w:val="7030A0"/>
        </w:rPr>
        <w:t xml:space="preserve">The third indicator, EU funding, measures the public support committed to the projects rather than their total cost. Like total cost, however, it can include support for equipment, infrastructure and demonstration activities as well as for technology development, so the caution set out in Section 4.3.1 also applies to the port model. In this model, too, the funding indicator has the lowest loading of the three participation indicators (0.54; Table 13).</w:t>
      </w:r>
    </w:p>
    <w:bookmarkEnd w:id="23"/>
    <w:bookmarkStart w:id="24" w:name="e.-section-4.6-new-limitation"/>
    <w:p>
      <w:pPr>
        <w:pStyle w:val="Heading1"/>
      </w:pPr>
      <w:r>
        <w:t xml:space="preserve">E. SECTION 4.6: NEW LIMITATION</w:t>
      </w:r>
    </w:p>
    <w:p>
      <w:pPr>
        <w:pStyle w:val="BlockText"/>
      </w:pPr>
      <w:r>
        <w:rPr>
          <w:iCs/>
          <w:i/>
          <w:color w:val="606060"/>
        </w:rPr>
        <w:t xml:space="preserve">Insert in the limitations paragraph of Section 4.6, after the sentence</w:t>
      </w:r>
      <w:r>
        <w:rPr>
          <w:iCs/>
          <w:i/>
          <w:color w:val="606060"/>
        </w:rPr>
        <w:t xml:space="preserve"> </w:t>
      </w:r>
      <w:r>
        <w:rPr>
          <w:iCs/>
          <w:i/>
          <w:color w:val="606060"/>
        </w:rPr>
        <w:t xml:space="preserve">“</w:t>
      </w:r>
      <w:r>
        <w:rPr>
          <w:iCs/>
          <w:i/>
          <w:color w:val="606060"/>
        </w:rPr>
        <w:t xml:space="preserve">Besides, the latent variables are measured indirectly through proxy indicators, and therefore some uncertainty remains in how fully these indicators capture the underlying concepts.</w:t>
      </w:r>
      <w:r>
        <w:rPr>
          <w:iCs/>
          <w:i/>
          <w:color w:val="606060"/>
        </w:rPr>
        <w:t xml:space="preserve">”</w:t>
      </w:r>
    </w:p>
    <w:p>
      <w:pPr>
        <w:pStyle w:val="FirstParagraph"/>
      </w:pPr>
      <w:r>
        <w:rPr>
          <w:color w:val="7030A0"/>
        </w:rPr>
        <w:t xml:space="preserve">In particular, the participation construct uses project cost, and in the port model EU funding, as one of its indicators. Because transport and port infrastructure is capital-intensive and technologies are largely embodied in equipment and facilities, the cost of a technology project includes the cost of physical works and equipment and may overstate the value of the technology itself, especially for port projects. This risk is reduced by drawing the projects from a research and innovation database, by screening them for technology content, and by combining cost with the number and duration of projects; the cost indicator also has the lowest loading in both measurement models. The participation construct should nevertheless be read as the scale of engagement in technology-oriented projects rather than as the value of the technology developed. Future research could separate the technology component of project budgets, for example by using cost categories that distinguish research, development and demonstration activities from capital works, or by adding project outputs, such as patents or demonstrated technologies, as indicators.</w:t>
      </w:r>
    </w:p>
    <w:p>
      <w:pPr>
        <w:pStyle w:val="BlockText"/>
      </w:pPr>
      <w:r>
        <w:rPr>
          <w:iCs/>
          <w:i/>
          <w:color w:val="606060"/>
        </w:rPr>
        <w:t xml:space="preserve">Section 7.4 (old 7.3) already receives a matching sentence from file 03, Part D5(c):</w:t>
      </w:r>
      <w:r>
        <w:rPr>
          <w:iCs/>
          <w:i/>
          <w:color w:val="606060"/>
        </w:rPr>
        <w:t xml:space="preserve"> </w:t>
      </w:r>
      <w:r>
        <w:rPr>
          <w:iCs/>
          <w:i/>
          <w:color w:val="606060"/>
        </w:rPr>
        <w:t xml:space="preserve">“</w:t>
      </w:r>
      <w:r>
        <w:rPr>
          <w:iCs/>
          <w:i/>
          <w:color w:val="606060"/>
        </w:rPr>
        <w:t xml:space="preserve">In Chapter 4, participation is partly measured by project cost, which includes the cost of equipment and works…</w:t>
      </w:r>
      <w:r>
        <w:rPr>
          <w:iCs/>
          <w:i/>
          <w:color w:val="606060"/>
        </w:rPr>
        <w:t xml:space="preserve">”</w:t>
      </w:r>
      <w:r>
        <w:rPr>
          <w:iCs/>
          <w:i/>
          <w:color w:val="606060"/>
        </w:rPr>
        <w:t xml:space="preserve">. No further change is needed there.</w:t>
      </w:r>
    </w:p>
    <w:bookmarkEnd w:id="24"/>
    <w:bookmarkStart w:id="25" w:name="f.-draft-response-to-the-examiner"/>
    <w:p>
      <w:pPr>
        <w:pStyle w:val="Heading1"/>
      </w:pPr>
      <w:r>
        <w:t xml:space="preserve">F. DRAFT RESPONSE TO THE EXAMINER</w:t>
      </w:r>
    </w:p>
    <w:p>
      <w:pPr>
        <w:pStyle w:val="BlockText"/>
      </w:pPr>
      <w:r>
        <w:rPr>
          <w:iCs/>
          <w:i/>
          <w:color w:val="606060"/>
        </w:rPr>
        <w:t xml:space="preserve">To be placed in the Examiner 4 response letter. Page numbers will be added once the revised thesis is paginated.</w:t>
      </w:r>
    </w:p>
    <w:p>
      <w:pPr>
        <w:pStyle w:val="FirstParagraph"/>
      </w:pPr>
      <w:r>
        <w:rPr>
          <w:color w:val="7030A0"/>
        </w:rPr>
        <w:t xml:space="preserve">We thank the examiner for this valuable comment. We agree that project costs may overstate the value of technology, because transport and port infrastructure projects are capital-intensive and technologies are embodied in the equipment and facilities that the projects deliver. We have revised Chapter 4 accordingly. Section 4.3.1 now states explicitly that project cost is interpreted as the scale of resources committed to technology-oriented projects, not as the value of technology, and explains why it may overstate the technology component. We have also clarified two aspects of the data and the measurement design that reduce this risk. First, the projects were drawn from TRIMIS, the European Commission’s database of transport research and innovation projects, and were screened to retain only technology-oriented projects (Section 4.3.3). Second, project cost is one of three indicators of participation, together with the number of projects led and the total duration of participation. In both measurement models, the cost indicator has the lowest factor loading, so the participation construct mainly reflects the number and duration of projects (Sections 4.4.1 and 4.5.3). As the examiner suggests, the possible overstatement is now discussed as a limitation in Section 4.6 and in the overall limitations of the thesis (Section 7.4), together with suggestions for future research on separating the technology component of project budgets.</w:t>
      </w:r>
    </w:p>
    <w:bookmarkEnd w:id="25"/>
    <w:bookmarkStart w:id="26" w:name="references"/>
    <w:p>
      <w:pPr>
        <w:pStyle w:val="Heading1"/>
      </w:pPr>
      <w:r>
        <w:t xml:space="preserve">REFERENCES</w:t>
      </w:r>
    </w:p>
    <w:p>
      <w:pPr>
        <w:pStyle w:val="BlockText"/>
      </w:pPr>
      <w:r>
        <w:rPr>
          <w:iCs/>
          <w:i/>
          <w:color w:val="606060"/>
        </w:rPr>
        <w:t xml:space="preserve">† = already in your list. Two related fixes to your existing list: the text cites</w:t>
      </w:r>
      <w:r>
        <w:rPr>
          <w:iCs/>
          <w:i/>
          <w:color w:val="606060"/>
        </w:rPr>
        <w:t xml:space="preserve"> </w:t>
      </w:r>
      <w:r>
        <w:rPr>
          <w:iCs/>
          <w:i/>
          <w:color w:val="606060"/>
        </w:rPr>
        <w:t xml:space="preserve">“</w:t>
      </w:r>
      <w:r>
        <w:rPr>
          <w:iCs/>
          <w:i/>
          <w:color w:val="606060"/>
        </w:rPr>
        <w:t xml:space="preserve">Kline (2015)</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Kline (2016)</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Hair (2010)</w:t>
      </w:r>
      <w:r>
        <w:rPr>
          <w:iCs/>
          <w:i/>
          <w:color w:val="606060"/>
        </w:rPr>
        <w:t xml:space="preserve">”</w:t>
      </w:r>
      <w:r>
        <w:rPr>
          <w:iCs/>
          <w:i/>
          <w:color w:val="606060"/>
        </w:rPr>
        <w:t xml:space="preserve">, but the list has Kline (2016) and Hair (2011). The Kline entry is also listed as a chapter with series editors and an unrelated DOI; the book itself is Kline (2016), below. Please align the years and entries.</w:t>
      </w:r>
    </w:p>
    <w:p>
      <w:pPr>
        <w:pStyle w:val="FirstParagraph"/>
      </w:pPr>
      <w:r>
        <w:rPr>
          <w:color w:val="7030A0"/>
        </w:rPr>
        <w:t xml:space="preserve">European Commission. (2023b).</w:t>
      </w:r>
      <w:r>
        <w:rPr>
          <w:color w:val="7030A0"/>
        </w:rPr>
        <w:t xml:space="preserve"> </w:t>
      </w:r>
      <w:r>
        <w:rPr>
          <w:iCs/>
          <w:i/>
          <w:color w:val="7030A0"/>
        </w:rPr>
        <w:t xml:space="preserve">Transport Research and Innovation Monitoring and Information System</w:t>
      </w:r>
      <w:r>
        <w:rPr>
          <w:color w:val="7030A0"/>
        </w:rPr>
        <w:t xml:space="preserve">. https://trimis.ec.europa.eu †</w:t>
      </w:r>
    </w:p>
    <w:p>
      <w:pPr>
        <w:pStyle w:val="BodyText"/>
      </w:pPr>
      <w:r>
        <w:rPr>
          <w:color w:val="7030A0"/>
        </w:rPr>
        <w:t xml:space="preserve">Haralambides, H. E. (2002). Competition, excess capacity, and the pricing of port infrastructure.</w:t>
      </w:r>
      <w:r>
        <w:rPr>
          <w:color w:val="7030A0"/>
        </w:rPr>
        <w:t xml:space="preserve"> </w:t>
      </w:r>
      <w:r>
        <w:rPr>
          <w:iCs/>
          <w:i/>
          <w:color w:val="7030A0"/>
        </w:rPr>
        <w:t xml:space="preserve">International Journal of Maritime Economics, 4</w:t>
      </w:r>
      <w:r>
        <w:rPr>
          <w:color w:val="7030A0"/>
        </w:rPr>
        <w:t xml:space="preserve">(4), 323–347. https://doi.org/10.1057/palgrave.ijme.9100053 (also in file 03)</w:t>
      </w:r>
    </w:p>
    <w:p>
      <w:pPr>
        <w:pStyle w:val="BodyText"/>
      </w:pPr>
      <w:r>
        <w:rPr>
          <w:color w:val="7030A0"/>
        </w:rPr>
        <w:t xml:space="preserve">Kline, R. B. (2016).</w:t>
      </w:r>
      <w:r>
        <w:rPr>
          <w:color w:val="7030A0"/>
        </w:rPr>
        <w:t xml:space="preserve"> </w:t>
      </w:r>
      <w:r>
        <w:rPr>
          <w:iCs/>
          <w:i/>
          <w:color w:val="7030A0"/>
        </w:rPr>
        <w:t xml:space="preserve">Principles and practice of structural equation modeling</w:t>
      </w:r>
      <w:r>
        <w:rPr>
          <w:color w:val="7030A0"/>
        </w:rPr>
        <w:t xml:space="preserve"> </w:t>
      </w:r>
      <w:r>
        <w:rPr>
          <w:color w:val="7030A0"/>
        </w:rPr>
        <w:t xml:space="preserve">(4th ed.). Guilford Press. † (corrected entry)</w:t>
      </w:r>
    </w:p>
    <w:p>
      <w:pPr>
        <w:pStyle w:val="BodyText"/>
      </w:pPr>
      <w:r>
        <w:rPr>
          <w:color w:val="7030A0"/>
        </w:rPr>
        <w:t xml:space="preserve">OECD. (2015).</w:t>
      </w:r>
      <w:r>
        <w:rPr>
          <w:color w:val="7030A0"/>
        </w:rPr>
        <w:t xml:space="preserve"> </w:t>
      </w:r>
      <w:r>
        <w:rPr>
          <w:iCs/>
          <w:i/>
          <w:color w:val="7030A0"/>
        </w:rPr>
        <w:t xml:space="preserve">Frascati manual 2015: Guidelines for collecting and reporting data on research and experimental development</w:t>
      </w:r>
      <w:r>
        <w:rPr>
          <w:color w:val="7030A0"/>
        </w:rPr>
        <w:t xml:space="preserve">. OECD Publishing. https://doi.org/10.1787/9789264239012-en (also in file 01)</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4, Chapter 4: project cost as an indicator of participation (PT)</dc:title>
  <dc:creator/>
  <cp:keywords/>
  <dcterms:created xsi:type="dcterms:W3CDTF">2026-10-10T16:41:10Z</dcterms:created>
  <dcterms:modified xsi:type="dcterms:W3CDTF">2026-10-10T16:41:10Z</dcterms:modified>
</cp:coreProperties>
</file>

<file path=docProps/custom.xml><?xml version="1.0" encoding="utf-8"?>
<Properties xmlns="http://schemas.openxmlformats.org/officeDocument/2006/custom-properties" xmlns:vt="http://schemas.openxmlformats.org/officeDocument/2006/docPropsVTypes"/>
</file>