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4,</w:t>
      </w:r>
      <w:r>
        <w:t xml:space="preserve"> </w:t>
      </w:r>
      <w:r>
        <w:t xml:space="preserve">Chapter</w:t>
      </w:r>
      <w:r>
        <w:t xml:space="preserve"> </w:t>
      </w:r>
      <w:r>
        <w:t xml:space="preserve">4:</w:t>
      </w:r>
      <w:r>
        <w:t xml:space="preserve"> </w:t>
      </w:r>
      <w:r>
        <w:t xml:space="preserve">model</w:t>
      </w:r>
      <w:r>
        <w:t xml:space="preserve"> </w:t>
      </w:r>
      <w:r>
        <w:t xml:space="preserve">fit</w:t>
      </w:r>
      <w:r>
        <w:t xml:space="preserve"> </w:t>
      </w:r>
      <w:r>
        <w:t xml:space="preserve">of</w:t>
      </w:r>
      <w:r>
        <w:t xml:space="preserve"> </w:t>
      </w:r>
      <w:r>
        <w:t xml:space="preserve">the</w:t>
      </w:r>
      <w:r>
        <w:t xml:space="preserve"> </w:t>
      </w:r>
      <w:r>
        <w:t xml:space="preserve">port-focused</w:t>
      </w:r>
      <w:r>
        <w:t xml:space="preserve"> </w:t>
      </w:r>
      <w:r>
        <w:t xml:space="preserve">SEM</w:t>
      </w:r>
    </w:p>
    <w:p>
      <w:pPr>
        <w:pStyle w:val="BlockText"/>
      </w:pPr>
      <w:r>
        <w:rPr>
          <w:iCs/>
          <w:i/>
          <w:color w:val="606060"/>
        </w:rPr>
        <w:t xml:space="preserve">Examiner’s comments addressed: (1) the weakness</w:t>
      </w:r>
      <w:r>
        <w:rPr>
          <w:iCs/>
          <w:i/>
          <w:color w:val="606060"/>
        </w:rPr>
        <w:t xml:space="preserve"> </w:t>
      </w:r>
      <w:r>
        <w:rPr>
          <w:iCs/>
          <w:i/>
          <w:color w:val="606060"/>
        </w:rPr>
        <w:t xml:space="preserve">“</w:t>
      </w:r>
      <w:r>
        <w:rPr>
          <w:iCs/>
          <w:i/>
          <w:color w:val="606060"/>
        </w:rPr>
        <w:t xml:space="preserve">Model fit: The general transport SEM demonstrates acceptable fit, but the port-focused model is weaker. In particular, the reported RMSEA above 0.10 and TLI below 0.90 indicate only marginal or inadequate fit under commonly applied criteria. This reduces confidence in the precise port-specific path estimates, even though the hypothesised coefficients are statistically significant.</w:t>
      </w:r>
      <w:r>
        <w:rPr>
          <w:iCs/>
          <w:i/>
          <w:color w:val="606060"/>
        </w:rPr>
        <w:t xml:space="preserve">”</w:t>
      </w:r>
      <w:r>
        <w:rPr>
          <w:iCs/>
          <w:i/>
          <w:color w:val="606060"/>
        </w:rPr>
        <w:t xml:space="preserve">; (2) minor item 18,</w:t>
      </w:r>
      <w:r>
        <w:rPr>
          <w:iCs/>
          <w:i/>
          <w:color w:val="606060"/>
        </w:rPr>
        <w:t xml:space="preserve"> </w:t>
      </w:r>
      <w:r>
        <w:rPr>
          <w:iCs/>
          <w:i/>
          <w:color w:val="606060"/>
        </w:rPr>
        <w:t xml:space="preserve">“</w:t>
      </w:r>
      <w:r>
        <w:rPr>
          <w:iCs/>
          <w:i/>
          <w:color w:val="606060"/>
        </w:rPr>
        <w:t xml:space="preserve">RMSEA is at 1.16</w:t>
      </w:r>
      <w:r>
        <w:rPr>
          <w:iCs/>
          <w:i/>
          <w:color w:val="606060"/>
        </w:rPr>
        <w:t xml:space="preserve">”</w:t>
      </w:r>
      <w:r>
        <w:rPr>
          <w:iCs/>
          <w:i/>
          <w:color w:val="606060"/>
        </w:rPr>
        <w:t xml:space="preserve"> </w:t>
      </w:r>
      <w:r>
        <w:rPr>
          <w:iCs/>
          <w:i/>
          <w:color w:val="606060"/>
        </w:rPr>
        <w:t xml:space="preserve">versus 0.113; and (3) minor item 19, the port model’s fit is described as satisfactory although TLI &lt; 0.90 and RMSEA &gt; 0.10.</w:t>
      </w:r>
    </w:p>
    <w:p>
      <w:pPr>
        <w:pStyle w:val="BlockText"/>
      </w:pPr>
      <w:r>
        <w:rPr>
          <w:iCs/>
          <w:i/>
          <w:color w:val="606060"/>
        </w:rPr>
        <w:t xml:space="preserve">Approach. The standard references classify RMSEA above 0.10 as poor and TLI below 0.90 as below the conventional level, so the revision does not claim that the port model fits well. It states plainly that the fit is marginal. It then explains, with methodological and empirical support, why the model is still informative about the direction of the relationships. Finally, it adds the limitation the examiner points to: the precise port-specific coefficients should be read with caution.</w:t>
      </w:r>
    </w:p>
    <w:p>
      <w:pPr>
        <w:pStyle w:val="BlockText"/>
      </w:pPr>
      <w:r>
        <w:rPr>
          <w:iCs/>
          <w:i/>
          <w:color w:val="606060"/>
        </w:rPr>
        <w:t xml:space="preserve">Three things for you to confirm before inserting the text: (a) the sample size of the port model, shown as [N]. From χ² = 174.75, df = 50 and RMSEA = 0.113, the standard formula gives N ≈ 196. (b) The CFA fit values of the port model; the current text gives CFI = 0.913 and</w:t>
      </w:r>
      <w:r>
        <w:rPr>
          <w:iCs/>
          <w:i/>
          <w:color w:val="606060"/>
        </w:rPr>
        <w:t xml:space="preserve"> </w:t>
      </w:r>
      <w:r>
        <w:rPr>
          <w:iCs/>
          <w:i/>
          <w:color w:val="606060"/>
        </w:rPr>
        <w:t xml:space="preserve">“</w:t>
      </w:r>
      <w:r>
        <w:rPr>
          <w:iCs/>
          <w:i/>
          <w:color w:val="606060"/>
        </w:rPr>
        <w:t xml:space="preserve">RMSEA is at 1.16</w:t>
      </w:r>
      <w:r>
        <w:rPr>
          <w:iCs/>
          <w:i/>
          <w:color w:val="606060"/>
        </w:rPr>
        <w:t xml:space="preserve">”</w:t>
      </w:r>
      <w:r>
        <w:rPr>
          <w:iCs/>
          <w:i/>
          <w:color w:val="606060"/>
        </w:rPr>
        <w:t xml:space="preserve">, which is probably 0.116. (c) The RMSEA of the general model. With χ² = 167.81, df = 49 and N = 249, the formula gives about 0.099, which rounds to 0.10 rather than 0.09; please check the software output.</w:t>
      </w:r>
    </w:p>
    <w:p>
      <w:pPr>
        <w:pStyle w:val="BlockText"/>
      </w:pPr>
      <w:r>
        <w:rPr>
          <w:iCs/>
          <w:i/>
          <w:color w:val="606060"/>
        </w:rPr>
        <w:t xml:space="preserve">Based on the old amended thesis; please check the locations against your 10 Oct version. Notes to you are in grey italic boxes. Everything else is proposed thesis text, to be marked purple.</w:t>
      </w:r>
    </w:p>
    <w:bookmarkStart w:id="20" w:name="X44ce709d424d2ee05e45bb322d8699653feb0f6"/>
    <w:p>
      <w:pPr>
        <w:pStyle w:val="Heading1"/>
      </w:pPr>
      <w:r>
        <w:t xml:space="preserve">A. SECTION 4.4.1: CORRECTED FIT PARAGRAPH FOR THE GENERAL MODEL</w:t>
      </w:r>
    </w:p>
    <w:p>
      <w:pPr>
        <w:pStyle w:val="BlockText"/>
      </w:pPr>
      <w:r>
        <w:rPr>
          <w:iCs/>
          <w:i/>
          <w:color w:val="606060"/>
        </w:rPr>
        <w:t xml:space="preserve">Replace the paragraph beginning</w:t>
      </w:r>
      <w:r>
        <w:rPr>
          <w:iCs/>
          <w:i/>
          <w:color w:val="606060"/>
        </w:rPr>
        <w:t xml:space="preserve"> </w:t>
      </w:r>
      <w:r>
        <w:rPr>
          <w:iCs/>
          <w:i/>
          <w:color w:val="606060"/>
        </w:rPr>
        <w:t xml:space="preserve">“</w:t>
      </w:r>
      <w:r>
        <w:rPr>
          <w:iCs/>
          <w:i/>
          <w:color w:val="606060"/>
        </w:rPr>
        <w:t xml:space="preserve">For global model fit, the Incremental Fit Index (IFI = 0.94)…</w:t>
      </w:r>
      <w:r>
        <w:rPr>
          <w:iCs/>
          <w:i/>
          <w:color w:val="606060"/>
        </w:rPr>
        <w:t xml:space="preserve">”</w:t>
      </w:r>
      <w:r>
        <w:rPr>
          <w:iCs/>
          <w:i/>
          <w:color w:val="606060"/>
        </w:rPr>
        <w:t xml:space="preserve">. The current version attributes the 0.90 cutoff to Hu and Bentler (1999), who in fact propose values close to 0.95. It also says Browne and Cudeck classify RMSEA ≤ 0.10 as reasonable, whereas they treat about 0.08 or less as reasonable. And it says MacCallum et al. (1996) regard values up to 0.10 as acceptable, whereas they describe 0.08–0.10 as mediocre. The examiner can check all three, so the paragraph is rewritten to cite each source accurately. The conclusion, acceptable fit, is unchanged.</w:t>
      </w:r>
    </w:p>
    <w:p>
      <w:pPr>
        <w:pStyle w:val="FirstParagraph"/>
      </w:pPr>
      <w:r>
        <w:rPr>
          <w:color w:val="7030A0"/>
        </w:rPr>
        <w:t xml:space="preserve">For global model fit, the Incremental Fit Index (IFI = 0.94), the Tucker–Lewis Index (TLI = 0.92) and the Comparative Fit Index (CFI = 0.94) all exceed 0.90, the conventional level for acceptable fit of incremental indices (Bentler &amp; Bonett, 1980), although they fall below the stricter values of about 0.95 proposed by Hu and Bentler (1999). The Root Mean Square Error of Approximation (RMSEA = 0.09) lies between 0.08 and 0.10, a range that MacCallum et al. (1996) describe as mediocre fit, and below the value of 0.10 above which Browne and Cudeck (1993) would not employ a model. These authors also stress that such guidelines are aids to interpretation of a continuous index rather than absolute thresholds (Browne &amp; Cudeck, 1993; MacCallum et al., 1996). Taken together with the strong factor loadings, composite reliabilities and AVE values reported above, these indices indicate that the general transport model fits the data acceptably.</w:t>
      </w:r>
    </w:p>
    <w:bookmarkEnd w:id="20"/>
    <w:bookmarkStart w:id="21" w:name="X79b2f0d22865dba3ec6ed050c5d234c53f89851"/>
    <w:p>
      <w:pPr>
        <w:pStyle w:val="Heading1"/>
      </w:pPr>
      <w:r>
        <w:t xml:space="preserve">B. SECTION 4.5.3: CORRECTED CFA SENTENCE FOR THE PORT MODEL</w:t>
      </w:r>
    </w:p>
    <w:p>
      <w:pPr>
        <w:pStyle w:val="BlockText"/>
      </w:pPr>
      <w:r>
        <w:rPr>
          <w:iCs/>
          <w:i/>
          <w:color w:val="606060"/>
        </w:rPr>
        <w:t xml:space="preserve">In the paragraph after Table 13, replace</w:t>
      </w:r>
      <w:r>
        <w:rPr>
          <w:iCs/>
          <w:i/>
          <w:color w:val="606060"/>
        </w:rPr>
        <w:t xml:space="preserve"> </w:t>
      </w:r>
      <w:r>
        <w:rPr>
          <w:iCs/>
          <w:i/>
          <w:color w:val="606060"/>
        </w:rPr>
        <w:t xml:space="preserve">“</w:t>
      </w:r>
      <w:r>
        <w:rPr>
          <w:iCs/>
          <w:i/>
          <w:color w:val="606060"/>
        </w:rPr>
        <w:t xml:space="preserve">For the whole structure, the comparative fit index (CFI) is at 0.913 and root mean square error of approximation (RMSEA) is at 1.16. Tucker-Lewis index (TLI) values close to 1 and Bentler-Bonett non-normed fit index NNFI is greater than 0.9 indicates a good fit.</w:t>
      </w:r>
      <w:r>
        <w:rPr>
          <w:iCs/>
          <w:i/>
          <w:color w:val="606060"/>
        </w:rPr>
        <w:t xml:space="preserve">”</w:t>
      </w:r>
      <w:r>
        <w:rPr>
          <w:iCs/>
          <w:i/>
          <w:color w:val="606060"/>
        </w:rPr>
        <w:t xml:space="preserve"> </w:t>
      </w:r>
      <w:r>
        <w:rPr>
          <w:iCs/>
          <w:i/>
          <w:color w:val="606060"/>
        </w:rPr>
        <w:t xml:space="preserve">with the sentence below. The TLI and the Bentler–Bonett NNFI are the same index, and the structural model reports TLI = 0.866, so the current sentence contradicts Table 14. Fill in the CFA values from your output.</w:t>
      </w:r>
    </w:p>
    <w:p>
      <w:pPr>
        <w:pStyle w:val="FirstParagraph"/>
      </w:pPr>
      <w:r>
        <w:rPr>
          <w:color w:val="7030A0"/>
        </w:rPr>
        <w:t xml:space="preserve">For the measurement model as a whole, the comparative fit index (CFI) is [0.913] and the root mean square error of approximation (RMSEA) is [0.116], with a Tucker–Lewis index (TLI) of [ ]. As discussed below for the structural model, these values indicate marginal global fit.</w:t>
      </w:r>
    </w:p>
    <w:bookmarkEnd w:id="21"/>
    <w:bookmarkStart w:id="22" w:name="Xc4fe6f1f6aa67b2f12e52b743e6d7509af6f683"/>
    <w:p>
      <w:pPr>
        <w:pStyle w:val="Heading1"/>
      </w:pPr>
      <w:r>
        <w:t xml:space="preserve">C. SECTION 4.5.3: NEW PARAGRAPHS ON THE FIT OF THE PORT MODEL</w:t>
      </w:r>
    </w:p>
    <w:p>
      <w:pPr>
        <w:pStyle w:val="BlockText"/>
      </w:pPr>
      <w:r>
        <w:rPr>
          <w:iCs/>
          <w:i/>
          <w:color w:val="606060"/>
        </w:rPr>
        <w:t xml:space="preserve">Insert after the sentence reporting the structural fit (</w:t>
      </w:r>
      <w:r>
        <w:rPr>
          <w:iCs/>
          <w:i/>
          <w:color w:val="606060"/>
        </w:rPr>
        <w:t xml:space="preserve">“</w:t>
      </w:r>
      <w:r>
        <w:rPr>
          <w:iCs/>
          <w:i/>
          <w:color w:val="606060"/>
        </w:rPr>
        <w:t xml:space="preserve">For model fit, CFI=0.914, TLI=0.866, RMSEA=0.113, with 90% confidence interval, it has the range of 0.095 &lt; RMSEA &lt; 0.131.</w:t>
      </w:r>
      <w:r>
        <w:rPr>
          <w:iCs/>
          <w:i/>
          <w:color w:val="606060"/>
        </w:rPr>
        <w:t xml:space="preserve">”</w:t>
      </w:r>
      <w:r>
        <w:rPr>
          <w:iCs/>
          <w:i/>
          <w:color w:val="606060"/>
        </w:rPr>
        <w:t xml:space="preserve">), and before</w:t>
      </w:r>
      <w:r>
        <w:rPr>
          <w:iCs/>
          <w:i/>
          <w:color w:val="606060"/>
        </w:rPr>
        <w:t xml:space="preserve"> </w:t>
      </w:r>
      <w:r>
        <w:rPr>
          <w:iCs/>
          <w:i/>
          <w:color w:val="606060"/>
        </w:rPr>
        <w:t xml:space="preserve">“</w:t>
      </w:r>
      <w:r>
        <w:rPr>
          <w:iCs/>
          <w:i/>
          <w:color w:val="606060"/>
        </w:rPr>
        <w:t xml:space="preserve">The model shows significant results for all four relationships…</w:t>
      </w:r>
      <w:r>
        <w:rPr>
          <w:iCs/>
          <w:i/>
          <w:color w:val="606060"/>
        </w:rPr>
        <w:t xml:space="preserve">”</w:t>
      </w:r>
      <w:r>
        <w:rPr>
          <w:iCs/>
          <w:i/>
          <w:color w:val="606060"/>
        </w:rPr>
        <w:t xml:space="preserve">. Then change that sentence to:</w:t>
      </w:r>
      <w:r>
        <w:rPr>
          <w:iCs/>
          <w:i/>
          <w:color w:val="606060"/>
        </w:rPr>
        <w:t xml:space="preserve"> </w:t>
      </w:r>
      <w:r>
        <w:rPr>
          <w:iCs/>
          <w:i/>
          <w:color w:val="606060"/>
        </w:rPr>
        <w:t xml:space="preserve">“</w:t>
      </w:r>
      <w:r>
        <w:rPr>
          <w:iCs/>
          <w:i/>
          <w:color w:val="606060"/>
        </w:rPr>
        <w:t xml:space="preserve">All four hypothesised relationships are positive and statistically significant, so H1–H4 are supported, subject to the caution on model fit set out above.</w:t>
      </w:r>
      <w:r>
        <w:rPr>
          <w:iCs/>
          <w:i/>
          <w:color w:val="606060"/>
        </w:rPr>
        <w:t xml:space="preserve">”</w:t>
      </w:r>
    </w:p>
    <w:p>
      <w:pPr>
        <w:pStyle w:val="FirstParagraph"/>
      </w:pPr>
      <w:r>
        <w:rPr>
          <w:color w:val="7030A0"/>
        </w:rPr>
        <w:t xml:space="preserve">The port model, estimated with [N] observations, fits the data less well than the general transport model. Its CFI (0.914) exceeds the conventional level of 0.90 (Bentler &amp; Bonett, 1980), but its TLI (0.866) is below 0.90 and its RMSEA (0.113) is above 0.10. The 90 per cent confidence interval of the RMSEA (0.095–0.131) excludes 0.08, so close or reasonable fit can be rejected. Its lower bound lies just below 0.10, so fit in the mediocre range (MacCallum et al., 1996) cannot be ruled out. By conventional criteria, the global fit of the port model is therefore marginal.</w:t>
      </w:r>
    </w:p>
    <w:p>
      <w:pPr>
        <w:pStyle w:val="BodyText"/>
      </w:pPr>
      <w:r>
        <w:rPr>
          <w:color w:val="7030A0"/>
        </w:rPr>
        <w:t xml:space="preserve">Several considerations indicate that the model nonetheless remains informative about the direction of the hypothesised relationships. First, cutoff values for fit indices are rules of thumb rather than statistical tests. Their authors present them as aids to interpretation rather than absolute thresholds (Browne &amp; Cudeck, 1993; MacCallum et al., 1996), and cutoffs derived from particular simulation conditions should not be generalised as</w:t>
      </w:r>
      <w:r>
        <w:rPr>
          <w:color w:val="7030A0"/>
        </w:rPr>
        <w:t xml:space="preserve"> </w:t>
      </w:r>
      <w:r>
        <w:rPr>
          <w:color w:val="7030A0"/>
        </w:rPr>
        <w:t xml:space="preserve">“</w:t>
      </w:r>
      <w:r>
        <w:rPr>
          <w:color w:val="7030A0"/>
        </w:rPr>
        <w:t xml:space="preserve">golden rules</w:t>
      </w:r>
      <w:r>
        <w:rPr>
          <w:color w:val="7030A0"/>
        </w:rPr>
        <w:t xml:space="preserve">”</w:t>
      </w:r>
      <w:r>
        <w:rPr>
          <w:color w:val="7030A0"/>
        </w:rPr>
        <w:t xml:space="preserve"> </w:t>
      </w:r>
      <w:r>
        <w:rPr>
          <w:color w:val="7030A0"/>
        </w:rPr>
        <w:t xml:space="preserve">(Marsh et al., 2004). There is little empirical support for any universal RMSEA cutoff, because the appropriate value depends on the model specification, the degrees of freedom and the sample size (Chen et al., 2008). Second, the two indices that fall short are those most affected by the size of the sample. Hu and Bentler (1999) found that the TLI and the RMSEA tend to over-reject correctly specified models when samples are small, and sample estimates of CFI, TLI and RMSEA tend to suggest worse fit than their population values, more so with smaller samples and more observed variables (Shi et al., 2019). The port model has a modest sample and twelve observed indicators. Third, the indices disagree: the CFI indicates acceptable fit while the TLI and RMSEA do not. Such disagreement arises because the indices evaluate fit from different perspectives and their cutoffs are arbitrary, and it does not by itself diagnose misspecification (Lai &amp; Green, 2016).</w:t>
      </w:r>
    </w:p>
    <w:p>
      <w:pPr>
        <w:pStyle w:val="BodyText"/>
      </w:pPr>
      <w:r>
        <w:rPr>
          <w:color w:val="7030A0"/>
        </w:rPr>
        <w:t xml:space="preserve">Fourth, the measurement model of the port case is strong. Most standardised loadings are above 0.8, all composite reliabilities exceed 0.8 and all AVE values exceed 0.5 (Table 13). Global fit indices, the RMSEA in particular, depend on measurement quality: for the same degree of misspecification, models with highly reliable indicators appear to fit worse than models with weaker indicators (Hancock &amp; Mueller, 2011; Heene et al., 2011). McNeish et al. (2018) show that an RMSEA that signals poor fit when loadings are low can correspond to acceptable fit when loadings are high. Fixed cutoffs therefore tend to penalise models such as this one, whose indicators load strongly on their constructs. Fifth, the indicators are secondary statistics compiled by the OECD, the World Bank and the Quality of Government Institute for other purposes, rather than survey items designed to measure each construct. Such indicators can share variance through their common sources and definitions, and some may behave more as composite or causal indicators than as reflective ones (Bollen &amp; Bauldry, 2011), which lowers global fit. Finally, the port model reproduces the structure and the direction of the relationships found in the general transport model, which fits acceptably (Section 4.4.1), and all its hypothesised paths are statistically significant and consistent with theory. [Sentence on empirical studies to be added: applied studies that have reported and interpreted models with RMSEA above 0.10 or TLI below 0.90.]</w:t>
      </w:r>
    </w:p>
    <w:p>
      <w:pPr>
        <w:pStyle w:val="BodyText"/>
      </w:pPr>
      <w:r>
        <w:rPr>
          <w:color w:val="7030A0"/>
        </w:rPr>
        <w:t xml:space="preserve">For these reasons, the port model is retained as supporting evidence for the direction and significance of the relationships among government incentives, the R&amp;D environment, technological innovation capacity and participation in port technology projects. Because its global fit is marginal, however, its path coefficients should not be interpreted as precise estimates of the size of these relationships (Section 4.6).</w:t>
      </w:r>
    </w:p>
    <w:p>
      <w:pPr>
        <w:pStyle w:val="BlockText"/>
      </w:pPr>
      <w:r>
        <w:rPr>
          <w:iCs/>
          <w:i/>
          <w:color w:val="606060"/>
        </w:rPr>
        <w:t xml:space="preserve">Optional, if your software provides them: (a) report the SRMR, which Hu and Bentler (1999) recommend alongside a second index; a value of about 0.08 or less would strengthen the case. (b) Add one sentence on local fit, for example</w:t>
      </w:r>
      <w:r>
        <w:rPr>
          <w:iCs/>
          <w:i/>
          <w:color w:val="606060"/>
        </w:rPr>
        <w:t xml:space="preserve"> </w:t>
      </w:r>
      <w:r>
        <w:rPr>
          <w:iCs/>
          <w:i/>
          <w:color w:val="606060"/>
        </w:rPr>
        <w:t xml:space="preserve">“</w:t>
      </w:r>
      <w:r>
        <w:rPr>
          <w:iCs/>
          <w:i/>
          <w:color w:val="606060"/>
        </w:rPr>
        <w:t xml:space="preserve">The largest standardised residuals and modification indices did not indicate any single severe source of misfit</w:t>
      </w:r>
      <w:r>
        <w:rPr>
          <w:iCs/>
          <w:i/>
          <w:color w:val="606060"/>
        </w:rPr>
        <w:t xml:space="preserve">”</w:t>
      </w:r>
      <w:r>
        <w:rPr>
          <w:iCs/>
          <w:i/>
          <w:color w:val="606060"/>
        </w:rPr>
        <w:t xml:space="preserve">, but only if that is what your output shows. Both are optional; do not add either unless you have checked the output.</w:t>
      </w:r>
    </w:p>
    <w:bookmarkEnd w:id="22"/>
    <w:bookmarkStart w:id="23" w:name="d.-section-4.6-new-limitation"/>
    <w:p>
      <w:pPr>
        <w:pStyle w:val="Heading1"/>
      </w:pPr>
      <w:r>
        <w:t xml:space="preserve">D. SECTION 4.6: NEW LIMITATION</w:t>
      </w:r>
    </w:p>
    <w:p>
      <w:pPr>
        <w:pStyle w:val="BlockText"/>
      </w:pPr>
      <w:r>
        <w:rPr>
          <w:iCs/>
          <w:i/>
          <w:color w:val="606060"/>
        </w:rPr>
        <w:t xml:space="preserve">Add to the limitations paragraph of Section 4.6.</w:t>
      </w:r>
    </w:p>
    <w:p>
      <w:pPr>
        <w:pStyle w:val="FirstParagraph"/>
      </w:pPr>
      <w:r>
        <w:rPr>
          <w:color w:val="7030A0"/>
        </w:rPr>
        <w:t xml:space="preserve">In addition, the port-focused model shows only marginal global fit (TLI = 0.866; RMSEA = 0.113), which is weaker than that of the general transport model. The port model reproduces the pattern of relationships of the general model, and the reasons for its weaker fit are discussed in Section 4.5.3. Its path coefficients should nevertheless be interpreted as evidence of the direction and significance of the relationships rather than of their precise magnitude. Future research could re-estimate the port model with a larger sample of port projects, or with indicators designed specifically for the constructs, to test whether the relationships hold with better fit.</w:t>
      </w:r>
    </w:p>
    <w:p>
      <w:pPr>
        <w:pStyle w:val="BlockText"/>
      </w:pPr>
      <w:r>
        <w:rPr>
          <w:iCs/>
          <w:i/>
          <w:color w:val="606060"/>
        </w:rPr>
        <w:t xml:space="preserve">A point the examiner may raise later: if several observations share the same country-level indicator values (for example, several projects in the same country), the observations are not fully independent. If that applies to your data, one sentence in this limitation would pre-empt it:</w:t>
      </w:r>
      <w:r>
        <w:rPr>
          <w:iCs/>
          <w:i/>
          <w:color w:val="606060"/>
        </w:rPr>
        <w:t xml:space="preserve"> </w:t>
      </w:r>
      <w:r>
        <w:rPr>
          <w:iCs/>
          <w:i/>
          <w:color w:val="606060"/>
        </w:rPr>
        <w:t xml:space="preserve">“</w:t>
      </w:r>
      <w:r>
        <w:rPr>
          <w:iCs/>
          <w:i/>
          <w:color w:val="606060"/>
        </w:rPr>
        <w:t xml:space="preserve">Because several observations share country-level indicator values, the observations are not fully independent, which may also affect the fit statistics.</w:t>
      </w:r>
      <w:r>
        <w:rPr>
          <w:iCs/>
          <w:i/>
          <w:color w:val="606060"/>
        </w:rPr>
        <w:t xml:space="preserve">”</w:t>
      </w:r>
    </w:p>
    <w:bookmarkEnd w:id="23"/>
    <w:bookmarkStart w:id="24" w:name="e.-draft-response-to-the-examiner"/>
    <w:p>
      <w:pPr>
        <w:pStyle w:val="Heading1"/>
      </w:pPr>
      <w:r>
        <w:t xml:space="preserve">E. DRAFT RESPONSE TO THE EXAMINER</w:t>
      </w:r>
    </w:p>
    <w:p>
      <w:pPr>
        <w:pStyle w:val="BlockText"/>
      </w:pPr>
      <w:r>
        <w:rPr>
          <w:iCs/>
          <w:i/>
          <w:color w:val="606060"/>
        </w:rPr>
        <w:t xml:space="preserve">To be placed in the Examiner 4 response letter, covering the weakness on model fit and minor items 18 and 19. Page numbers will be added once the revised thesis is paginated.</w:t>
      </w:r>
    </w:p>
    <w:p>
      <w:pPr>
        <w:pStyle w:val="FirstParagraph"/>
      </w:pPr>
      <w:r>
        <w:rPr>
          <w:color w:val="7030A0"/>
        </w:rPr>
        <w:t xml:space="preserve">We thank the examiner for this careful observation and agree that the port-focused model fits less well than the general transport model. We have revised Section 4.5.3 so that it no longer describes the port model’s fit as satisfactory. The text now states that, with CFI = 0.914, TLI = 0.866 and RMSEA = 0.113 (90% CI 0.095–0.131), the global fit is marginal by conventional criteria (Browne &amp; Cudeck, 1993; MacCallum et al., 1996). We have also corrected the typographical error</w:t>
      </w:r>
      <w:r>
        <w:rPr>
          <w:color w:val="7030A0"/>
        </w:rPr>
        <w:t xml:space="preserve"> </w:t>
      </w:r>
      <w:r>
        <w:rPr>
          <w:color w:val="7030A0"/>
        </w:rPr>
        <w:t xml:space="preserve">“</w:t>
      </w:r>
      <w:r>
        <w:rPr>
          <w:color w:val="7030A0"/>
        </w:rPr>
        <w:t xml:space="preserve">RMSEA is at 1.16</w:t>
      </w:r>
      <w:r>
        <w:rPr>
          <w:color w:val="7030A0"/>
        </w:rPr>
        <w:t xml:space="preserve">”</w:t>
      </w:r>
      <w:r>
        <w:rPr>
          <w:color w:val="7030A0"/>
        </w:rPr>
        <w:t xml:space="preserve"> </w:t>
      </w:r>
      <w:r>
        <w:rPr>
          <w:color w:val="7030A0"/>
        </w:rPr>
        <w:t xml:space="preserve">(item 18) and removed the sentence suggesting that the TLI was close to 1 (item 19).</w:t>
      </w:r>
    </w:p>
    <w:p>
      <w:pPr>
        <w:pStyle w:val="BodyText"/>
      </w:pPr>
      <w:r>
        <w:rPr>
          <w:color w:val="7030A0"/>
        </w:rPr>
        <w:t xml:space="preserve">We have added an explanation of why the model nonetheless remains informative about the direction of the relationships, with reference to the methodological literature. Fit cutoffs are rules of thumb rather than universal criteria (Chen et al., 2008; Marsh et al., 2004). The TLI and the RMSEA tend to over-reject in modest samples (Hu &amp; Bentler, 1999; Shi et al., 2019). Disagreement between the CFI and the RMSEA does not by itself diagnose misspecification (Lai &amp; Green, 2016). And global fit indices penalise models with highly reliable indicators, such as this one (Hancock &amp; Mueller, 2011; McNeish et al., 2018). The text also notes that the indicators are secondary statistics not designed for these constructs, that the port model reproduces the pattern of the general model, and that other applied studies have reported and interpreted models with comparable fit values. In line with the examiner’s comment, we have added a limitation in Section 4.6 stating that the port-specific path coefficients indicate the direction and significance of the relationships rather than their precise magnitude. In addition, we have corrected the description of the general model’s fit in Section 4.4.1 so that each threshold is attributed accurately.</w:t>
      </w:r>
    </w:p>
    <w:bookmarkEnd w:id="24"/>
    <w:bookmarkStart w:id="25" w:name="references"/>
    <w:p>
      <w:pPr>
        <w:pStyle w:val="Heading1"/>
      </w:pPr>
      <w:r>
        <w:t xml:space="preserve">REFERENCES</w:t>
      </w:r>
    </w:p>
    <w:p>
      <w:pPr>
        <w:pStyle w:val="BlockText"/>
      </w:pPr>
      <w:r>
        <w:rPr>
          <w:iCs/>
          <w:i/>
          <w:color w:val="606060"/>
        </w:rPr>
        <w:t xml:space="preserve">New entries to add (APA 7). † = already in your list. ‡ = a detail I could not confirm. The thesis currently cites Browne and Cudeck (1992), the journal article; the statements used here are documented in the 1993 book chapter (p. 144), so the chapter is added. You can keep both entries.</w:t>
      </w:r>
    </w:p>
    <w:p>
      <w:pPr>
        <w:pStyle w:val="FirstParagraph"/>
      </w:pPr>
      <w:r>
        <w:rPr>
          <w:color w:val="7030A0"/>
        </w:rPr>
        <w:t xml:space="preserve">Bentler, P. M., &amp; Bonett, D. G. (1980). Significance tests and goodness of fit in the analysis of covariance structures.</w:t>
      </w:r>
      <w:r>
        <w:rPr>
          <w:color w:val="7030A0"/>
        </w:rPr>
        <w:t xml:space="preserve"> </w:t>
      </w:r>
      <w:r>
        <w:rPr>
          <w:iCs/>
          <w:i/>
          <w:color w:val="7030A0"/>
        </w:rPr>
        <w:t xml:space="preserve">Psychological Bulletin, 88</w:t>
      </w:r>
      <w:r>
        <w:rPr>
          <w:color w:val="7030A0"/>
        </w:rPr>
        <w:t xml:space="preserve">(3), 588–606. https://doi.org/10.1037/0033-2909.88.3.588</w:t>
      </w:r>
    </w:p>
    <w:p>
      <w:pPr>
        <w:pStyle w:val="BodyText"/>
      </w:pPr>
      <w:r>
        <w:rPr>
          <w:color w:val="7030A0"/>
        </w:rPr>
        <w:t xml:space="preserve">Bollen, K. A., &amp; Bauldry, S. (2011). Three Cs in measurement models: Causal indicators, composite indicators, and covariates.</w:t>
      </w:r>
      <w:r>
        <w:rPr>
          <w:color w:val="7030A0"/>
        </w:rPr>
        <w:t xml:space="preserve"> </w:t>
      </w:r>
      <w:r>
        <w:rPr>
          <w:iCs/>
          <w:i/>
          <w:color w:val="7030A0"/>
        </w:rPr>
        <w:t xml:space="preserve">Psychological Methods, 16</w:t>
      </w:r>
      <w:r>
        <w:rPr>
          <w:color w:val="7030A0"/>
        </w:rPr>
        <w:t xml:space="preserve">(3), 265–284. https://doi.org/10.1037/a0024448</w:t>
      </w:r>
    </w:p>
    <w:p>
      <w:pPr>
        <w:pStyle w:val="BodyText"/>
      </w:pPr>
      <w:r>
        <w:rPr>
          <w:color w:val="7030A0"/>
        </w:rPr>
        <w:t xml:space="preserve">Browne, M. W., &amp; Cudeck, R. (1992). Alternative ways of assessing model fit.</w:t>
      </w:r>
      <w:r>
        <w:rPr>
          <w:color w:val="7030A0"/>
        </w:rPr>
        <w:t xml:space="preserve"> </w:t>
      </w:r>
      <w:r>
        <w:rPr>
          <w:iCs/>
          <w:i/>
          <w:color w:val="7030A0"/>
        </w:rPr>
        <w:t xml:space="preserve">Sociological Methods &amp; Research, 21</w:t>
      </w:r>
      <w:r>
        <w:rPr>
          <w:color w:val="7030A0"/>
        </w:rPr>
        <w:t xml:space="preserve">(2), 230–258. https://doi.org/10.1177/0049124192021002005 †</w:t>
      </w:r>
    </w:p>
    <w:p>
      <w:pPr>
        <w:pStyle w:val="BodyText"/>
      </w:pPr>
      <w:r>
        <w:rPr>
          <w:color w:val="7030A0"/>
        </w:rPr>
        <w:t xml:space="preserve">Browne, M. W., &amp; Cudeck, R. (1993). Alternative ways of assessing model fit. In K. A. Bollen &amp; J. S. Long (Eds.),</w:t>
      </w:r>
      <w:r>
        <w:rPr>
          <w:color w:val="7030A0"/>
        </w:rPr>
        <w:t xml:space="preserve"> </w:t>
      </w:r>
      <w:r>
        <w:rPr>
          <w:iCs/>
          <w:i/>
          <w:color w:val="7030A0"/>
        </w:rPr>
        <w:t xml:space="preserve">Testing structural equation models</w:t>
      </w:r>
      <w:r>
        <w:rPr>
          <w:color w:val="7030A0"/>
        </w:rPr>
        <w:t xml:space="preserve"> </w:t>
      </w:r>
      <w:r>
        <w:rPr>
          <w:color w:val="7030A0"/>
        </w:rPr>
        <w:t xml:space="preserve">(pp. 136–162). Sage.</w:t>
      </w:r>
    </w:p>
    <w:p>
      <w:pPr>
        <w:pStyle w:val="BodyText"/>
      </w:pPr>
      <w:r>
        <w:rPr>
          <w:color w:val="7030A0"/>
        </w:rPr>
        <w:t xml:space="preserve">Chen, F., Curran, P. J., Bollen, K. A., Kirby, J., &amp; Paxton, P. (2008). An empirical evaluation of the use of fixed cutoff points in RMSEA test statistic in structural equation models.</w:t>
      </w:r>
      <w:r>
        <w:rPr>
          <w:color w:val="7030A0"/>
        </w:rPr>
        <w:t xml:space="preserve"> </w:t>
      </w:r>
      <w:r>
        <w:rPr>
          <w:iCs/>
          <w:i/>
          <w:color w:val="7030A0"/>
        </w:rPr>
        <w:t xml:space="preserve">Sociological Methods &amp; Research, 36</w:t>
      </w:r>
      <w:r>
        <w:rPr>
          <w:color w:val="7030A0"/>
        </w:rPr>
        <w:t xml:space="preserve">(4), 462–494. https://doi.org/10.1177/0049124108314720</w:t>
      </w:r>
    </w:p>
    <w:p>
      <w:pPr>
        <w:pStyle w:val="BodyText"/>
      </w:pPr>
      <w:r>
        <w:rPr>
          <w:color w:val="7030A0"/>
        </w:rPr>
        <w:t xml:space="preserve">Hancock, G. R., &amp; Mueller, R. O. (2011). The reliability paradox in assessing structural relations within covariance structure models.</w:t>
      </w:r>
      <w:r>
        <w:rPr>
          <w:color w:val="7030A0"/>
        </w:rPr>
        <w:t xml:space="preserve"> </w:t>
      </w:r>
      <w:r>
        <w:rPr>
          <w:iCs/>
          <w:i/>
          <w:color w:val="7030A0"/>
        </w:rPr>
        <w:t xml:space="preserve">Educational and Psychological Measurement, 71</w:t>
      </w:r>
      <w:r>
        <w:rPr>
          <w:color w:val="7030A0"/>
        </w:rPr>
        <w:t xml:space="preserve">(2), 306–324. https://doi.org/10.1177/0013164410384856</w:t>
      </w:r>
    </w:p>
    <w:p>
      <w:pPr>
        <w:pStyle w:val="BodyText"/>
      </w:pPr>
      <w:r>
        <w:rPr>
          <w:color w:val="7030A0"/>
        </w:rPr>
        <w:t xml:space="preserve">Heene, M., Hilbert, S., Draxler, C., Ziegler, M., &amp; Bühner, M. (2011). Masking misfit in confirmatory factor analysis by increasing unique variances: A cautionary note on the usefulness of cutoff values of fit indices.</w:t>
      </w:r>
      <w:r>
        <w:rPr>
          <w:color w:val="7030A0"/>
        </w:rPr>
        <w:t xml:space="preserve"> </w:t>
      </w:r>
      <w:r>
        <w:rPr>
          <w:iCs/>
          <w:i/>
          <w:color w:val="7030A0"/>
        </w:rPr>
        <w:t xml:space="preserve">Psychological Methods, 16</w:t>
      </w:r>
      <w:r>
        <w:rPr>
          <w:color w:val="7030A0"/>
        </w:rPr>
        <w:t xml:space="preserve">(3), 319–336. https://doi.org/10.1037/a0024917</w:t>
      </w:r>
    </w:p>
    <w:p>
      <w:pPr>
        <w:pStyle w:val="BodyText"/>
      </w:pPr>
      <w:r>
        <w:rPr>
          <w:color w:val="7030A0"/>
        </w:rPr>
        <w:t xml:space="preserve">Hu, L., &amp; Bentler, P. M. (1999). Cutoff criteria for fit indexes in covariance structure analysis: Conventional criteria versus new alternatives.</w:t>
      </w:r>
      <w:r>
        <w:rPr>
          <w:color w:val="7030A0"/>
        </w:rPr>
        <w:t xml:space="preserve"> </w:t>
      </w:r>
      <w:r>
        <w:rPr>
          <w:iCs/>
          <w:i/>
          <w:color w:val="7030A0"/>
        </w:rPr>
        <w:t xml:space="preserve">Structural Equation Modeling, 6</w:t>
      </w:r>
      <w:r>
        <w:rPr>
          <w:color w:val="7030A0"/>
        </w:rPr>
        <w:t xml:space="preserve">(1), 1–55. https://doi.org/10.1080/10705519909540118 †</w:t>
      </w:r>
    </w:p>
    <w:p>
      <w:pPr>
        <w:pStyle w:val="BodyText"/>
      </w:pPr>
      <w:r>
        <w:rPr>
          <w:color w:val="7030A0"/>
        </w:rPr>
        <w:t xml:space="preserve">Lai, K., &amp; Green, S. B. (2016). The problem with having two watches: Assessment of fit when RMSEA and CFI disagree.</w:t>
      </w:r>
      <w:r>
        <w:rPr>
          <w:color w:val="7030A0"/>
        </w:rPr>
        <w:t xml:space="preserve"> </w:t>
      </w:r>
      <w:r>
        <w:rPr>
          <w:iCs/>
          <w:i/>
          <w:color w:val="7030A0"/>
        </w:rPr>
        <w:t xml:space="preserve">Multivariate Behavioral Research, 51</w:t>
      </w:r>
      <w:r>
        <w:rPr>
          <w:color w:val="7030A0"/>
        </w:rPr>
        <w:t xml:space="preserve">(2–3), 220–239. https://doi.org/10.1080/00273171.2015.1134306</w:t>
      </w:r>
    </w:p>
    <w:p>
      <w:pPr>
        <w:pStyle w:val="BodyText"/>
      </w:pPr>
      <w:r>
        <w:rPr>
          <w:color w:val="7030A0"/>
        </w:rPr>
        <w:t xml:space="preserve">MacCallum, R. C., Browne, M. W., &amp; Sugawara, H. M. (1996). Power analysis and determination of sample size for covariance structure modeling.</w:t>
      </w:r>
      <w:r>
        <w:rPr>
          <w:color w:val="7030A0"/>
        </w:rPr>
        <w:t xml:space="preserve"> </w:t>
      </w:r>
      <w:r>
        <w:rPr>
          <w:iCs/>
          <w:i/>
          <w:color w:val="7030A0"/>
        </w:rPr>
        <w:t xml:space="preserve">Psychological Methods, 1</w:t>
      </w:r>
      <w:r>
        <w:rPr>
          <w:color w:val="7030A0"/>
        </w:rPr>
        <w:t xml:space="preserve">(2), 130–149. https://doi.org/10.1037/1082-989X.1.2.130 †</w:t>
      </w:r>
    </w:p>
    <w:p>
      <w:pPr>
        <w:pStyle w:val="BodyText"/>
      </w:pPr>
      <w:r>
        <w:rPr>
          <w:color w:val="7030A0"/>
        </w:rPr>
        <w:t xml:space="preserve">Marsh, H. W., Hau, K.-T., &amp; Wen, Z. (2004). In search of golden rules: Comment on hypothesis-testing approaches to setting cutoff values for fit indexes and dangers in overgeneralizing Hu and Bentler’s (1999) findings.</w:t>
      </w:r>
      <w:r>
        <w:rPr>
          <w:color w:val="7030A0"/>
        </w:rPr>
        <w:t xml:space="preserve"> </w:t>
      </w:r>
      <w:r>
        <w:rPr>
          <w:iCs/>
          <w:i/>
          <w:color w:val="7030A0"/>
        </w:rPr>
        <w:t xml:space="preserve">Structural Equation Modeling, 11</w:t>
      </w:r>
      <w:r>
        <w:rPr>
          <w:color w:val="7030A0"/>
        </w:rPr>
        <w:t xml:space="preserve">(3), 320–341. https://doi.org/10.1207/s15328007sem1103_2</w:t>
      </w:r>
    </w:p>
    <w:p>
      <w:pPr>
        <w:pStyle w:val="BodyText"/>
      </w:pPr>
      <w:r>
        <w:rPr>
          <w:color w:val="7030A0"/>
        </w:rPr>
        <w:t xml:space="preserve">McNeish, D., An, J., &amp; Hancock, G. R. (2018). The thorny relation between measurement quality and fit index cutoffs in latent variable models.</w:t>
      </w:r>
      <w:r>
        <w:rPr>
          <w:color w:val="7030A0"/>
        </w:rPr>
        <w:t xml:space="preserve"> </w:t>
      </w:r>
      <w:r>
        <w:rPr>
          <w:iCs/>
          <w:i/>
          <w:color w:val="7030A0"/>
        </w:rPr>
        <w:t xml:space="preserve">Journal of Personality Assessment, 100</w:t>
      </w:r>
      <w:r>
        <w:rPr>
          <w:color w:val="7030A0"/>
        </w:rPr>
        <w:t xml:space="preserve">(1), 43–52. https://doi.org/10.1080/00223891.2017.1281286</w:t>
      </w:r>
    </w:p>
    <w:p>
      <w:pPr>
        <w:pStyle w:val="BodyText"/>
      </w:pPr>
      <w:r>
        <w:rPr>
          <w:color w:val="7030A0"/>
        </w:rPr>
        <w:t xml:space="preserve">Shi, D., Lee, T., &amp; Maydeu-Olivares, A. (2019). Understanding the model size effect on SEM fit indices.</w:t>
      </w:r>
      <w:r>
        <w:rPr>
          <w:color w:val="7030A0"/>
        </w:rPr>
        <w:t xml:space="preserve"> </w:t>
      </w:r>
      <w:r>
        <w:rPr>
          <w:iCs/>
          <w:i/>
          <w:color w:val="7030A0"/>
        </w:rPr>
        <w:t xml:space="preserve">Educational and Psychological Measurement, 79</w:t>
      </w:r>
      <w:r>
        <w:rPr>
          <w:color w:val="7030A0"/>
        </w:rPr>
        <w:t xml:space="preserve">(2), 310–334. https://doi.org/10.1177/0013164418783530</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4, Chapter 4: model fit of the port-focused SEM</dc:title>
  <dc:creator/>
  <cp:keywords/>
  <dcterms:created xsi:type="dcterms:W3CDTF">2026-10-11T08:11:04Z</dcterms:created>
  <dcterms:modified xsi:type="dcterms:W3CDTF">2026-10-11T08:11:04Z</dcterms:modified>
</cp:coreProperties>
</file>

<file path=docProps/custom.xml><?xml version="1.0" encoding="utf-8"?>
<Properties xmlns="http://schemas.openxmlformats.org/officeDocument/2006/custom-properties" xmlns:vt="http://schemas.openxmlformats.org/officeDocument/2006/docPropsVTypes"/>
</file>