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Examiner</w:t>
      </w:r>
      <w:r>
        <w:t xml:space="preserve"> </w:t>
      </w:r>
      <w:r>
        <w:t xml:space="preserve">4,</w:t>
      </w:r>
      <w:r>
        <w:t xml:space="preserve"> </w:t>
      </w:r>
      <w:r>
        <w:t xml:space="preserve">Section</w:t>
      </w:r>
      <w:r>
        <w:t xml:space="preserve"> </w:t>
      </w:r>
      <w:r>
        <w:t xml:space="preserve">2.4</w:t>
      </w:r>
      <w:r>
        <w:t xml:space="preserve"> </w:t>
      </w:r>
      <w:r>
        <w:t xml:space="preserve">research</w:t>
      </w:r>
      <w:r>
        <w:t xml:space="preserve"> </w:t>
      </w:r>
      <w:r>
        <w:t xml:space="preserve">gaps:</w:t>
      </w:r>
      <w:r>
        <w:t xml:space="preserve"> </w:t>
      </w:r>
      <w:r>
        <w:t xml:space="preserve">heterogeneity</w:t>
      </w:r>
      <w:r>
        <w:t xml:space="preserve"> </w:t>
      </w:r>
      <w:r>
        <w:t xml:space="preserve">and</w:t>
      </w:r>
      <w:r>
        <w:t xml:space="preserve"> </w:t>
      </w:r>
      <w:r>
        <w:t xml:space="preserve">embodiment</w:t>
      </w:r>
      <w:r>
        <w:t xml:space="preserve"> </w:t>
      </w:r>
      <w:r>
        <w:t xml:space="preserve">of</w:t>
      </w:r>
      <w:r>
        <w:t xml:space="preserve"> </w:t>
      </w:r>
      <w:r>
        <w:t xml:space="preserve">technology</w:t>
      </w:r>
    </w:p>
    <w:p>
      <w:pPr>
        <w:pStyle w:val="BlockText"/>
      </w:pPr>
      <w:r>
        <w:rPr>
          <w:iCs/>
          <w:i/>
          <w:color w:val="606060"/>
        </w:rPr>
        <w:t xml:space="preserve">Examiner’s comment:</w:t>
      </w:r>
      <w:r>
        <w:rPr>
          <w:iCs/>
          <w:i/>
          <w:color w:val="606060"/>
        </w:rPr>
        <w:t xml:space="preserve"> </w:t>
      </w:r>
      <w:r>
        <w:rPr>
          <w:iCs/>
          <w:i/>
          <w:color w:val="606060"/>
        </w:rPr>
        <w:t xml:space="preserve">“</w:t>
      </w:r>
      <w:r>
        <w:rPr>
          <w:iCs/>
          <w:i/>
          <w:color w:val="606060"/>
        </w:rPr>
        <w:t xml:space="preserve">In Chapter 2, section 2.4 on major gaps in the literature lists only two main gaps. This is rather limited. It is important to highlight the heterogeneity nature of technology that creates a challenge in comparison and impact analysis. It is also worth noting that most technologies often don’t exist on their own but embodied in machines and equipment. In many cases, it’s difficult to separate their value from the investment cost of the machines/equipment.</w:t>
      </w:r>
      <w:r>
        <w:rPr>
          <w:iCs/>
          <w:i/>
          <w:color w:val="606060"/>
        </w:rPr>
        <w:t xml:space="preserve">”</w:t>
      </w:r>
    </w:p>
    <w:p>
      <w:pPr>
        <w:pStyle w:val="BlockText"/>
      </w:pPr>
      <w:r>
        <w:rPr>
          <w:iCs/>
          <w:i/>
          <w:color w:val="606060"/>
        </w:rPr>
        <w:t xml:space="preserve">This draft is based on the old amended thesis. The 10 Oct version is on your own computer and could not be opened from this session, so the section numbers and</w:t>
      </w:r>
      <w:r>
        <w:rPr>
          <w:iCs/>
          <w:i/>
          <w:color w:val="606060"/>
        </w:rPr>
        <w:t xml:space="preserve"> </w:t>
      </w:r>
      <w:r>
        <w:rPr>
          <w:iCs/>
          <w:i/>
          <w:color w:val="606060"/>
        </w:rPr>
        <w:t xml:space="preserve">“</w:t>
      </w:r>
      <w:r>
        <w:rPr>
          <w:iCs/>
          <w:i/>
          <w:color w:val="606060"/>
        </w:rPr>
        <w:t xml:space="preserve">insert after</w:t>
      </w:r>
      <w:r>
        <w:rPr>
          <w:iCs/>
          <w:i/>
          <w:color w:val="606060"/>
        </w:rPr>
        <w:t xml:space="preserve">”</w:t>
      </w:r>
      <w:r>
        <w:rPr>
          <w:iCs/>
          <w:i/>
          <w:color w:val="606060"/>
        </w:rPr>
        <w:t xml:space="preserve"> </w:t>
      </w:r>
      <w:r>
        <w:rPr>
          <w:iCs/>
          <w:i/>
          <w:color w:val="606060"/>
        </w:rPr>
        <w:t xml:space="preserve">anchors refer to the old version; please upload the 10 Oct file if you want me to align them exactly. Notes to you are in grey italic boxes. Everything else is proposed thesis text, to be marked purple.</w:t>
      </w:r>
    </w:p>
    <w:p>
      <w:pPr>
        <w:pStyle w:val="BlockText"/>
      </w:pPr>
      <w:r>
        <w:rPr>
          <w:iCs/>
          <w:i/>
          <w:color w:val="606060"/>
        </w:rPr>
        <w:t xml:space="preserve">Where the comment is addressed:</w:t>
      </w:r>
    </w:p>
    <w:p>
      <w:pPr>
        <w:pStyle w:val="BlockText"/>
      </w:pPr>
      <w:r>
        <w:rPr>
          <w:iCs/>
          <w:i/>
          <w:color w:val="606060"/>
        </w:rPr>
        <w:t xml:space="preserve">2.1.2: new paragraphs on heterogeneity and embodiment as measurement challenges.</w:t>
      </w:r>
    </w:p>
    <w:p>
      <w:pPr>
        <w:pStyle w:val="BlockText"/>
      </w:pPr>
      <w:r>
        <w:rPr>
          <w:iCs/>
          <w:i/>
          <w:color w:val="606060"/>
        </w:rPr>
        <w:t xml:space="preserve">2.3: closing paragraph linking port technologies to both issues.</w:t>
      </w:r>
    </w:p>
    <w:p>
      <w:pPr>
        <w:pStyle w:val="BlockText"/>
      </w:pPr>
      <w:r>
        <w:rPr>
          <w:iCs/>
          <w:i/>
          <w:color w:val="606060"/>
        </w:rPr>
        <w:t xml:space="preserve">2.4: rewritten, with six gaps in three groups and Table [new-2.1].</w:t>
      </w:r>
    </w:p>
    <w:p>
      <w:pPr>
        <w:pStyle w:val="BlockText"/>
      </w:pPr>
      <w:r>
        <w:rPr>
          <w:iCs/>
          <w:i/>
          <w:color w:val="606060"/>
        </w:rPr>
        <w:t xml:space="preserve">1.6 (old 1.5): one sentence on measuring technology at each level.</w:t>
      </w:r>
    </w:p>
    <w:p>
      <w:pPr>
        <w:pStyle w:val="BlockText"/>
      </w:pPr>
      <w:r>
        <w:rPr>
          <w:iCs/>
          <w:i/>
          <w:color w:val="606060"/>
        </w:rPr>
        <w:t xml:space="preserve">4.3.1 and 4.6: what project cost measures, and a limitation. Final text is now in file 05, which also answers the examiner’s comment on PT.</w:t>
      </w:r>
    </w:p>
    <w:p>
      <w:pPr>
        <w:pStyle w:val="BlockText"/>
      </w:pPr>
      <w:r>
        <w:rPr>
          <w:iCs/>
          <w:i/>
          <w:color w:val="606060"/>
        </w:rPr>
        <w:t xml:space="preserve">5.3.2 and 5.6: cranes as embodied technology, what the Malmquist frontier shift captures, and a limitation.</w:t>
      </w:r>
    </w:p>
    <w:p>
      <w:pPr>
        <w:pStyle w:val="BlockText"/>
      </w:pPr>
      <w:r>
        <w:rPr>
          <w:iCs/>
          <w:i/>
          <w:color w:val="606060"/>
        </w:rPr>
        <w:t xml:space="preserve">6.3 and 6.5: biofuel performance depends on the engine; the trials hold the craft and engines constant; a limitation.</w:t>
      </w:r>
    </w:p>
    <w:p>
      <w:pPr>
        <w:pStyle w:val="BlockText"/>
      </w:pPr>
      <w:r>
        <w:rPr>
          <w:iCs/>
          <w:i/>
          <w:color w:val="606060"/>
        </w:rPr>
        <w:t xml:space="preserve">7.2.3, 7.3 and 7.4: transferability, contribution, limitation and future research. The 7.2.3 paragraph has also been added to file 01.</w:t>
      </w:r>
    </w:p>
    <w:bookmarkStart w:id="20" w:name="Xc49671ab2f60a85def06d831b2fca50f1f306a8"/>
    <w:p>
      <w:pPr>
        <w:pStyle w:val="Heading1"/>
      </w:pPr>
      <w:r>
        <w:t xml:space="preserve">PART A — SECTION 2.1.2: NEW CLOSING PARAGRAPHS</w:t>
      </w:r>
    </w:p>
    <w:p>
      <w:pPr>
        <w:pStyle w:val="BlockText"/>
      </w:pPr>
      <w:r>
        <w:rPr>
          <w:iCs/>
          <w:i/>
          <w:color w:val="606060"/>
        </w:rPr>
        <w:t xml:space="preserve">Insert at the end of Section 2.1.2, after Table 2 and its source note, before Section 2.2.</w:t>
      </w:r>
    </w:p>
    <w:p>
      <w:pPr>
        <w:pStyle w:val="FirstParagraph"/>
      </w:pPr>
      <w:r>
        <w:rPr>
          <w:bCs/>
          <w:b/>
          <w:color w:val="7030A0"/>
        </w:rPr>
        <w:t xml:space="preserve">Heterogeneity and embodiment of technology</w:t>
      </w:r>
    </w:p>
    <w:p>
      <w:pPr>
        <w:pStyle w:val="BodyText"/>
      </w:pPr>
      <w:r>
        <w:rPr>
          <w:color w:val="7030A0"/>
        </w:rPr>
        <w:t xml:space="preserve">Two characteristics of technology complicate the measurements summarised in Tables 1 and 2. The first is heterogeneity. Technologies differ in their knowledge base, in how they are created and diffused, and in the sectors and applications in which they are used. Pavitt (1984) showed that technological knowledge is largely specific to firms and applications, cumulative in its development, and varied across sectors in its sources and direction, and Malerba and Orsenigo (1996) found that the Schumpeterian patterns of innovation discussed in Section 2.1.1 are themselves technology-specific. As a result, no single indicator captures technology advancement. The proxies in Table 1 and the indices in Table 2 reflect different dimensions, such as creation, diffusion or productivity, and the appropriate choice depends on the purpose of the analysis (Archibugi &amp; Coco, 2005; Dziallas &amp; Blind, 2019). Different innovation indicators are also only weakly related to one another, so the choice between them is not neutral and can affect the conclusions of a study (Kleinknecht et al., 2002). For the same reason, results obtained for one technology, or in one context, are difficult to compare with those obtained for another.</w:t>
      </w:r>
    </w:p>
    <w:p>
      <w:pPr>
        <w:pStyle w:val="BodyText"/>
      </w:pPr>
      <w:r>
        <w:rPr>
          <w:color w:val="7030A0"/>
        </w:rPr>
        <w:t xml:space="preserve">The second characteristic is embodiment. Most technologies do not exist on their own but are embodied in machines, equipment and other capital goods. In the vintage capital model of Solow (1960), technical progress is built into new capital goods and reaches production mainly through investment in new equipment. Empirical studies suggest that this channel is substantial. Investment-specific technological change accounts for a major part of post-war growth in the United States (Greenwood et al., 1997), and plant-level estimates of embodied technological change in US manufacturing lie between about 8 and 17 per cent a year (Sakellaris &amp; Wilson, 2004). Technology developed in one industry also reaches others through their purchases of intermediate and capital goods (Papaconstantinou et al., 1998). Embodiment makes it difficult to separate the value of a technology from the investment cost of the machine or equipment that carries it. Expenditure on equipment bundles the technology with the physical asset, and innovation surveys count the acquisition of machinery and equipment as part of innovation expenditure (OECD &amp; Eurostat, 2005). Conversely, when capital is measured without adjusting for the improved quality of new equipment, the contribution of the embodied technology is absorbed into the total factor productivity residual. Hulten (1992) estimated that up to about 20 per cent of total factor productivity growth in US manufacturing between 1949 and 1983 was due to this embodiment effect. Investment-based measures, such as investment in equipment and machinery in Table 1, may therefore overstate the technology component of spending, while productivity-based measures, such as total factor productivity in Table 2, combine technology embodied in new equipment with disembodied improvements in knowledge and organisation without distinguishing between them.</w:t>
      </w:r>
    </w:p>
    <w:bookmarkEnd w:id="20"/>
    <w:bookmarkStart w:id="21" w:name="part-b-section-2.3-closing-paragraph"/>
    <w:p>
      <w:pPr>
        <w:pStyle w:val="Heading1"/>
      </w:pPr>
      <w:r>
        <w:t xml:space="preserve">PART B — SECTION 2.3: CLOSING PARAGRAPH</w:t>
      </w:r>
    </w:p>
    <w:p>
      <w:pPr>
        <w:pStyle w:val="BlockText"/>
      </w:pPr>
      <w:r>
        <w:rPr>
          <w:iCs/>
          <w:i/>
          <w:color w:val="606060"/>
        </w:rPr>
        <w:t xml:space="preserve">Add at the end of Section 2.3, after the paragraph on green and smart ports that ends with Bjerkan and Seter (2019). The examiner’s separate comment on merging Tables 3 and 4 will be handled when we reach it; this paragraph does not depend on the table numbering.</w:t>
      </w:r>
    </w:p>
    <w:p>
      <w:pPr>
        <w:pStyle w:val="FirstParagraph"/>
      </w:pPr>
      <w:r>
        <w:rPr>
          <w:color w:val="7030A0"/>
        </w:rPr>
        <w:t xml:space="preserve">The port technologies reviewed in this section show both characteristics discussed in Section 2.1.2. They are heterogeneous, ranging from civil infrastructure and cargo-handling equipment, which change mainly through incremental upgrading, to information and communication technologies and alternative energy, which follow different trajectories and serve different objectives (Bjerkan &amp; Seter, 2019; Gharehgozli et al., 2016). Many of them are also embodied in physical assets, such as automated cranes and vehicles, electrified handling equipment and engines that use alternative fuels, so that their adoption usually takes the form of investment in new or upgraded equipment. These two characteristics shape the gaps summarised in Section 2.4 and the way technology is measured in the empirical chapters.</w:t>
      </w:r>
    </w:p>
    <w:bookmarkEnd w:id="21"/>
    <w:bookmarkStart w:id="22" w:name="X0a30847df0d864bd9393c6ef85c36b3397aef74"/>
    <w:p>
      <w:pPr>
        <w:pStyle w:val="Heading1"/>
      </w:pPr>
      <w:r>
        <w:t xml:space="preserve">PART C — SECTION 2.4: REPLACE THE WHOLE SECTION</w:t>
      </w:r>
    </w:p>
    <w:p>
      <w:pPr>
        <w:pStyle w:val="FirstParagraph"/>
      </w:pPr>
      <w:r>
        <w:rPr>
          <w:bCs/>
          <w:b/>
          <w:color w:val="7030A0"/>
        </w:rPr>
        <w:t xml:space="preserve">2.4 Summary of major gaps</w:t>
      </w:r>
    </w:p>
    <w:p>
      <w:pPr>
        <w:pStyle w:val="BodyText"/>
      </w:pPr>
      <w:r>
        <w:rPr>
          <w:color w:val="7030A0"/>
        </w:rPr>
        <w:t xml:space="preserve">The review of the concepts of innovation and technology advancement (Section 2.1) and of research on transport infrastructure and port technology development (Sections 2.2 and 2.3) reveals several gaps that motivate this thesis. They are of three kinds: conceptual and measurement gaps that arise from the nature of technology itself, a theoretical gap, and empirical gaps at the national, organisational and operational levels. Table [new-2.1] summarises them and indicates how the thesis responds to each.</w:t>
      </w:r>
    </w:p>
    <w:p>
      <w:pPr>
        <w:pStyle w:val="BodyText"/>
      </w:pPr>
      <w:r>
        <w:rPr>
          <w:color w:val="7030A0"/>
        </w:rPr>
        <w:t xml:space="preserve">The first gap concerns the heterogeneity of technology. Technologies differ in their knowledge base, patterns of change and purposes (Malerba &amp; Orsenigo, 1996; Pavitt, 1984), and port technologies range from quay cranes and terminal infrastructure to information systems and alternative fuels (Section 2.3). This heterogeneity creates a challenge for comparison and impact analysis. Different indicators capture different dimensions of technology and can lead to different conclusions (Kleinknecht et al., 2002), and the outcome of a port technology depends on whether it matches the needs of port actors and the institutional setting in which it is introduced (Acciaro et al., 2014). In port efficiency research, studies differ widely in their choice of inputs, outputs, samples and methods, which makes their results difficult to compare (Panayides et al., 2009), and a meta-analysis of 40 seaport efficiency studies examines how far the reported efficiency scores vary with the frontier method, the region, the type of data and the number of variables used (Odeck &amp; Bråthen, 2012). In the literature reviewed in this chapter, this heterogeneity is widely acknowledged but less often reflected in how empirical studies measure technology and compare its effects across technologies, terminals or countries. Findings obtained for one technology or one context are therefore at risk of being generalised beyond the conditions that produced them.</w:t>
      </w:r>
    </w:p>
    <w:p>
      <w:pPr>
        <w:pStyle w:val="BodyText"/>
      </w:pPr>
      <w:r>
        <w:rPr>
          <w:color w:val="7030A0"/>
        </w:rPr>
        <w:t xml:space="preserve">The second gap concerns the embodiment of technology in machines and equipment. Most technologies do not exist on their own but are built into capital goods (Solow, 1960), and ports adopt many of them, such as automated cranes, electrified equipment and alternative-fuel engines, by investing in new equipment (Section 2.3). It is therefore difficult to separate the value of a technology from the investment cost of the machines or equipment that carry it (Hulten, 1992; Sakellaris &amp; Wilson, 2004). The difficulty is particularly acute in ports, where investment is capital-intensive and lumpy (Haralambides, 2002), so that measures based on project or investment cost tend to overstate the technology component. In port productivity research, new handling equipment is recognised as a source of technological progress (Cheon et al., 2010; Wilmsmeier et al., 2013), but equipment usually enters the analysis through its quantity, capacity or cost, and the technology it embodies is not measured separately. How to measure technology that is embodied in equipment, and how to interpret the resulting measures, has received little explicit attention in the port technology literature reviewed here.</w:t>
      </w:r>
    </w:p>
    <w:p>
      <w:pPr>
        <w:pStyle w:val="BodyText"/>
      </w:pPr>
      <w:r>
        <w:rPr>
          <w:color w:val="7030A0"/>
        </w:rPr>
        <w:t xml:space="preserve">The third gap is theoretical. Theories of technology diffusion, innovation systems and socio-technical transitions have been applied widely in other sectors, but existing reviews of maritime and port research have mapped research topics, trends and technologies rather than the theoretical foundations of port technology development (Bai et al., 2021; Kosiek et al., 2021; Shin et al., 2018). A systematic basis for explaining why and how ports develop and adopt technologies is therefore lacking (Chapter 3).</w:t>
      </w:r>
    </w:p>
    <w:p>
      <w:pPr>
        <w:pStyle w:val="BodyText"/>
      </w:pPr>
      <w:r>
        <w:rPr>
          <w:color w:val="7030A0"/>
        </w:rPr>
        <w:t xml:space="preserve">The remaining gaps are empirical and correspond to the three levels examined in this thesis. At the national level, research on transport infrastructure and port projects has emphasised contractual arrangements, risk allocation and project performance (Cruz &amp; Marques, 2013; Verhoest et al., 2015), and the broader infrastructure literature has focused on financing, governance and efficiency (Estache &amp; Fay, 2007; Zhang et al., 2015). How technology-related factors such as government incentives for R&amp;D, innovation input and the technology development level are associated with participation in infrastructure technology development remains underexplored, and few studies model the indirect relationships among these factors (Section 2.2).</w:t>
      </w:r>
    </w:p>
    <w:p>
      <w:pPr>
        <w:pStyle w:val="BodyText"/>
      </w:pPr>
      <w:r>
        <w:rPr>
          <w:color w:val="7030A0"/>
        </w:rPr>
        <w:t xml:space="preserve">At the organisational level, empirical studies have evaluated port and terminal performance through efficiency and productivity measures, in some cases together with the effects of institutional reform and ownership (Cheon et al., 2010; Cullinane et al., 2002). Technological progress is acknowledged in this work, but how terminals expand their equipment in response to throughput, and how technological progress develops over time and differs between terminals, have seldom been modelled with longitudinal growth frameworks (Section 5.1).</w:t>
      </w:r>
    </w:p>
    <w:p>
      <w:pPr>
        <w:pStyle w:val="BodyText"/>
      </w:pPr>
      <w:r>
        <w:rPr>
          <w:color w:val="7030A0"/>
        </w:rPr>
        <w:t xml:space="preserve">At the operational level, environmental sustainability has become a central theme in port research, but studies of low-carbon alternatives such as biofuels have mostly relied on life-cycle assessment or engine tests (Bengtsson et al., 2012; Chountalas et al., 2023). Studies that combine real operational data with data-driven methods such as machine learning to evaluate the fuel and emission trade-offs of sustainable technologies in port operations remain limited.</w:t>
      </w:r>
    </w:p>
    <w:p>
      <w:pPr>
        <w:pStyle w:val="BodyText"/>
      </w:pPr>
      <w:r>
        <w:rPr>
          <w:bCs/>
          <w:b/>
          <w:color w:val="7030A0"/>
        </w:rPr>
        <w:t xml:space="preserve">Table [new-2.1]: Research gaps and the response of this thesis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color w:val="7030A0"/>
                <w:sz w:val="18"/>
              </w:rPr>
              <w:t xml:space="preserve">Gap</w:t>
            </w:r>
          </w:p>
        </w:tc>
        <w:tc>
          <w:tcPr/>
          <w:p>
            <w:pPr>
              <w:pStyle w:val="Compact"/>
              <w:jc w:val="left"/>
            </w:pPr>
            <w:r>
              <w:rPr>
                <w:color w:val="7030A0"/>
                <w:sz w:val="18"/>
              </w:rPr>
              <w:t xml:space="preserve">Type</w:t>
            </w:r>
          </w:p>
        </w:tc>
        <w:tc>
          <w:tcPr/>
          <w:p>
            <w:pPr>
              <w:pStyle w:val="Compact"/>
              <w:jc w:val="left"/>
            </w:pPr>
            <w:r>
              <w:rPr>
                <w:color w:val="7030A0"/>
                <w:sz w:val="18"/>
              </w:rPr>
              <w:t xml:space="preserve">Response in this thesis</w:t>
            </w:r>
          </w:p>
        </w:tc>
        <w:tc>
          <w:tcPr/>
          <w:p>
            <w:pPr>
              <w:pStyle w:val="Compact"/>
              <w:jc w:val="left"/>
            </w:pPr>
            <w:r>
              <w:rPr>
                <w:color w:val="7030A0"/>
                <w:sz w:val="18"/>
              </w:rPr>
              <w:t xml:space="preserve">Chapter</w:t>
            </w:r>
          </w:p>
        </w:tc>
      </w:tr>
      <w:tr>
        <w:tc>
          <w:tcPr/>
          <w:p>
            <w:pPr>
              <w:pStyle w:val="Compact"/>
              <w:jc w:val="left"/>
            </w:pPr>
            <w:r>
              <w:rPr>
                <w:color w:val="7030A0"/>
                <w:sz w:val="18"/>
              </w:rPr>
              <w:t xml:space="preserve">1. Heterogeneity of technology</w:t>
            </w:r>
          </w:p>
        </w:tc>
        <w:tc>
          <w:tcPr/>
          <w:p>
            <w:pPr>
              <w:pStyle w:val="Compact"/>
              <w:jc w:val="left"/>
            </w:pPr>
            <w:r>
              <w:rPr>
                <w:color w:val="7030A0"/>
                <w:sz w:val="18"/>
              </w:rPr>
              <w:t xml:space="preserve">Conceptual and measurement</w:t>
            </w:r>
          </w:p>
        </w:tc>
        <w:tc>
          <w:tcPr/>
          <w:p>
            <w:pPr>
              <w:pStyle w:val="Compact"/>
              <w:jc w:val="left"/>
            </w:pPr>
            <w:r>
              <w:rPr>
                <w:color w:val="7030A0"/>
                <w:sz w:val="18"/>
              </w:rPr>
              <w:t xml:space="preserve">Level-specific measures; differences between units and settings modelled, not pooled</w:t>
            </w:r>
          </w:p>
        </w:tc>
        <w:tc>
          <w:tcPr/>
          <w:p>
            <w:pPr>
              <w:pStyle w:val="Compact"/>
              <w:jc w:val="left"/>
            </w:pPr>
            <w:r>
              <w:rPr>
                <w:color w:val="7030A0"/>
                <w:sz w:val="18"/>
              </w:rPr>
              <w:t xml:space="preserve">4–7</w:t>
            </w:r>
          </w:p>
        </w:tc>
      </w:tr>
      <w:tr>
        <w:tc>
          <w:tcPr/>
          <w:p>
            <w:pPr>
              <w:pStyle w:val="Compact"/>
              <w:jc w:val="left"/>
            </w:pPr>
            <w:r>
              <w:rPr>
                <w:color w:val="7030A0"/>
                <w:sz w:val="18"/>
              </w:rPr>
              <w:t xml:space="preserve">2. Technology embodied in equipment</w:t>
            </w:r>
          </w:p>
        </w:tc>
        <w:tc>
          <w:tcPr/>
          <w:p>
            <w:pPr>
              <w:pStyle w:val="Compact"/>
              <w:jc w:val="left"/>
            </w:pPr>
            <w:r>
              <w:rPr>
                <w:color w:val="7030A0"/>
                <w:sz w:val="18"/>
              </w:rPr>
              <w:t xml:space="preserve">Conceptual and measurement</w:t>
            </w:r>
          </w:p>
        </w:tc>
        <w:tc>
          <w:tcPr/>
          <w:p>
            <w:pPr>
              <w:pStyle w:val="Compact"/>
              <w:jc w:val="left"/>
            </w:pPr>
            <w:r>
              <w:rPr>
                <w:color w:val="7030A0"/>
                <w:sz w:val="18"/>
              </w:rPr>
              <w:t xml:space="preserve">Output indicators of development level, physical equipment measures and fixed-engine trials alongside cost measures</w:t>
            </w:r>
          </w:p>
        </w:tc>
        <w:tc>
          <w:tcPr/>
          <w:p>
            <w:pPr>
              <w:pStyle w:val="Compact"/>
              <w:jc w:val="left"/>
            </w:pPr>
            <w:r>
              <w:rPr>
                <w:color w:val="7030A0"/>
                <w:sz w:val="18"/>
              </w:rPr>
              <w:t xml:space="preserve">4–6</w:t>
            </w:r>
          </w:p>
        </w:tc>
      </w:tr>
      <w:tr>
        <w:tc>
          <w:tcPr/>
          <w:p>
            <w:pPr>
              <w:pStyle w:val="Compact"/>
              <w:jc w:val="left"/>
            </w:pPr>
            <w:r>
              <w:rPr>
                <w:color w:val="7030A0"/>
                <w:sz w:val="18"/>
              </w:rPr>
              <w:t xml:space="preserve">3. Fragmented theoretical basis</w:t>
            </w:r>
          </w:p>
        </w:tc>
        <w:tc>
          <w:tcPr/>
          <w:p>
            <w:pPr>
              <w:pStyle w:val="Compact"/>
              <w:jc w:val="left"/>
            </w:pPr>
            <w:r>
              <w:rPr>
                <w:color w:val="7030A0"/>
                <w:sz w:val="18"/>
              </w:rPr>
              <w:t xml:space="preserve">Theoretical</w:t>
            </w:r>
          </w:p>
        </w:tc>
        <w:tc>
          <w:tcPr/>
          <w:p>
            <w:pPr>
              <w:pStyle w:val="Compact"/>
              <w:jc w:val="left"/>
            </w:pPr>
            <w:r>
              <w:rPr>
                <w:color w:val="7030A0"/>
                <w:sz w:val="18"/>
              </w:rPr>
              <w:t xml:space="preserve">Systematic review of theories</w:t>
            </w:r>
          </w:p>
        </w:tc>
        <w:tc>
          <w:tcPr/>
          <w:p>
            <w:pPr>
              <w:pStyle w:val="Compact"/>
              <w:jc w:val="left"/>
            </w:pPr>
            <w:r>
              <w:rPr>
                <w:color w:val="7030A0"/>
                <w:sz w:val="18"/>
              </w:rPr>
              <w:t xml:space="preserve">3</w:t>
            </w:r>
          </w:p>
        </w:tc>
      </w:tr>
      <w:tr>
        <w:tc>
          <w:tcPr/>
          <w:p>
            <w:pPr>
              <w:pStyle w:val="Compact"/>
              <w:jc w:val="left"/>
            </w:pPr>
            <w:r>
              <w:rPr>
                <w:color w:val="7030A0"/>
                <w:sz w:val="18"/>
              </w:rPr>
              <w:t xml:space="preserve">4. Technology-related factors in infrastructure development</w:t>
            </w:r>
          </w:p>
        </w:tc>
        <w:tc>
          <w:tcPr/>
          <w:p>
            <w:pPr>
              <w:pStyle w:val="Compact"/>
              <w:jc w:val="left"/>
            </w:pPr>
            <w:r>
              <w:rPr>
                <w:color w:val="7030A0"/>
                <w:sz w:val="18"/>
              </w:rPr>
              <w:t xml:space="preserve">Empirical: national</w:t>
            </w:r>
          </w:p>
        </w:tc>
        <w:tc>
          <w:tcPr/>
          <w:p>
            <w:pPr>
              <w:pStyle w:val="Compact"/>
              <w:jc w:val="left"/>
            </w:pPr>
            <w:r>
              <w:rPr>
                <w:color w:val="7030A0"/>
                <w:sz w:val="18"/>
              </w:rPr>
              <w:t xml:space="preserve">SEM of participation in European projects</w:t>
            </w:r>
          </w:p>
        </w:tc>
        <w:tc>
          <w:tcPr/>
          <w:p>
            <w:pPr>
              <w:pStyle w:val="Compact"/>
              <w:jc w:val="left"/>
            </w:pPr>
            <w:r>
              <w:rPr>
                <w:color w:val="7030A0"/>
                <w:sz w:val="18"/>
              </w:rPr>
              <w:t xml:space="preserve">4</w:t>
            </w:r>
          </w:p>
        </w:tc>
      </w:tr>
      <w:tr>
        <w:tc>
          <w:tcPr/>
          <w:p>
            <w:pPr>
              <w:pStyle w:val="Compact"/>
              <w:jc w:val="left"/>
            </w:pPr>
            <w:r>
              <w:rPr>
                <w:color w:val="7030A0"/>
                <w:sz w:val="18"/>
              </w:rPr>
              <w:t xml:space="preserve">5. Equipment deployment and technological progress over time</w:t>
            </w:r>
          </w:p>
        </w:tc>
        <w:tc>
          <w:tcPr/>
          <w:p>
            <w:pPr>
              <w:pStyle w:val="Compact"/>
              <w:jc w:val="left"/>
            </w:pPr>
            <w:r>
              <w:rPr>
                <w:color w:val="7030A0"/>
                <w:sz w:val="18"/>
              </w:rPr>
              <w:t xml:space="preserve">Empirical: organisational</w:t>
            </w:r>
          </w:p>
        </w:tc>
        <w:tc>
          <w:tcPr/>
          <w:p>
            <w:pPr>
              <w:pStyle w:val="Compact"/>
              <w:jc w:val="left"/>
            </w:pPr>
            <w:r>
              <w:rPr>
                <w:color w:val="7030A0"/>
                <w:sz w:val="18"/>
              </w:rPr>
              <w:t xml:space="preserve">Growth models and Malmquist index for Chinese terminals</w:t>
            </w:r>
          </w:p>
        </w:tc>
        <w:tc>
          <w:tcPr/>
          <w:p>
            <w:pPr>
              <w:pStyle w:val="Compact"/>
              <w:jc w:val="left"/>
            </w:pPr>
            <w:r>
              <w:rPr>
                <w:color w:val="7030A0"/>
                <w:sz w:val="18"/>
              </w:rPr>
              <w:t xml:space="preserve">5</w:t>
            </w:r>
          </w:p>
        </w:tc>
      </w:tr>
      <w:tr>
        <w:tc>
          <w:tcPr/>
          <w:p>
            <w:pPr>
              <w:pStyle w:val="Compact"/>
              <w:jc w:val="left"/>
            </w:pPr>
            <w:r>
              <w:rPr>
                <w:color w:val="7030A0"/>
                <w:sz w:val="18"/>
              </w:rPr>
              <w:t xml:space="preserve">6. Sustainable technologies in real operations</w:t>
            </w:r>
          </w:p>
        </w:tc>
        <w:tc>
          <w:tcPr/>
          <w:p>
            <w:pPr>
              <w:pStyle w:val="Compact"/>
              <w:jc w:val="left"/>
            </w:pPr>
            <w:r>
              <w:rPr>
                <w:color w:val="7030A0"/>
                <w:sz w:val="18"/>
              </w:rPr>
              <w:t xml:space="preserve">Empirical: operational</w:t>
            </w:r>
          </w:p>
        </w:tc>
        <w:tc>
          <w:tcPr/>
          <w:p>
            <w:pPr>
              <w:pStyle w:val="Compact"/>
              <w:jc w:val="left"/>
            </w:pPr>
            <w:r>
              <w:rPr>
                <w:color w:val="7030A0"/>
                <w:sz w:val="18"/>
              </w:rPr>
              <w:t xml:space="preserve">Machine learning with harbour-craft sea-trial data</w:t>
            </w:r>
          </w:p>
        </w:tc>
        <w:tc>
          <w:tcPr/>
          <w:p>
            <w:pPr>
              <w:pStyle w:val="Compact"/>
              <w:jc w:val="left"/>
            </w:pPr>
            <w:r>
              <w:rPr>
                <w:color w:val="7030A0"/>
                <w:sz w:val="18"/>
              </w:rPr>
              <w:t xml:space="preserve">6</w:t>
            </w:r>
          </w:p>
        </w:tc>
      </w:tr>
    </w:tbl>
    <w:p>
      <w:pPr>
        <w:pStyle w:val="BodyText"/>
      </w:pPr>
      <w:r>
        <w:rPr>
          <w:color w:val="7030A0"/>
        </w:rPr>
        <w:t xml:space="preserve">The first two gaps differ from the others. They are not problems that a single study can resolve, but conditions that any empirical study of technology advancement must take into account. The thesis responds to them in its design. Rather than pooling different technologies under a single measure, it measures technology in a form suited to each level: the national technology development level in Chapter 4, the number and capacity of cargo-handling equipment and the frontier shift of productivity in Chapter 5, and the performance of a fuel technology in a given engine in Chapter 6. The limits that heterogeneity and embodiment place on comparing and transferring the findings are discussed in Sections 7.2 and 7.4. By addressing these gaps together, the thesis investigates how infrastructure and port technologies are developed and diffused across multiple levels and contributes to a more holistic understanding of technology advancement in transport infrastructure, with ports as the central case.</w:t>
      </w:r>
    </w:p>
    <w:p>
      <w:pPr>
        <w:pStyle w:val="BlockText"/>
      </w:pPr>
      <w:r>
        <w:rPr>
          <w:iCs/>
          <w:i/>
          <w:color w:val="606060"/>
        </w:rPr>
        <w:t xml:space="preserve">Your current 2.4 cites Cruz &amp; Marques (2013), Verhoest et al. (2015), Estache &amp; Fay (2007), Zhang et al. (2015), Bengtsson et al. (2012) and Chountalas et al. (2023), but none of them is in the reference list of the old version. I have found and added full entries for all except Zhang et al. (2015), which I could not identify; please add its entry, or tell me the title so I can check it. Chountalas et al. (2023) is in an MDPI journal (Energies); it is kept because the original text cites it and it is directly relevant, and Lapuerta et al. (2008, Elsevier) supports the same point in Chapter 6.</w:t>
      </w:r>
    </w:p>
    <w:bookmarkEnd w:id="22"/>
    <w:bookmarkStart w:id="28" w:name="X4d0e142d469837e05e673add958e2d8ceeb3ad1"/>
    <w:p>
      <w:pPr>
        <w:pStyle w:val="Heading1"/>
      </w:pPr>
      <w:r>
        <w:t xml:space="preserve">PART D — RELATED REVISIONS IN OTHER CHAPTERS</w:t>
      </w:r>
    </w:p>
    <w:bookmarkStart w:id="23" w:name="X67239133295bca8935745fa70a18ed4590444b8"/>
    <w:p>
      <w:pPr>
        <w:pStyle w:val="Heading2"/>
      </w:pPr>
      <w:r>
        <w:t xml:space="preserve">D1. Chapter 1, Section 1.6 (old 1.5) Research significance</w:t>
      </w:r>
    </w:p>
    <w:p>
      <w:pPr>
        <w:pStyle w:val="BlockText"/>
      </w:pPr>
      <w:r>
        <w:rPr>
          <w:iCs/>
          <w:i/>
          <w:color w:val="606060"/>
        </w:rPr>
        <w:t xml:space="preserve">Add after the sentence describing the thesis’s methods in the paragraph on theoretical and methodological significance.</w:t>
      </w:r>
    </w:p>
    <w:p>
      <w:pPr>
        <w:pStyle w:val="FirstParagraph"/>
      </w:pPr>
      <w:r>
        <w:rPr>
          <w:color w:val="7030A0"/>
        </w:rPr>
        <w:t xml:space="preserve">The thesis also takes account of the heterogeneous and embodied nature of technology by measuring it in a form suited to each level of analysis rather than through a single indicator (Section 2.4).</w:t>
      </w:r>
    </w:p>
    <w:bookmarkEnd w:id="23"/>
    <w:bookmarkStart w:id="24" w:name="d2.-chapter-4"/>
    <w:p>
      <w:pPr>
        <w:pStyle w:val="Heading2"/>
      </w:pPr>
      <w:r>
        <w:t xml:space="preserve">D2. Chapter 4</w:t>
      </w:r>
    </w:p>
    <w:p>
      <w:pPr>
        <w:pStyle w:val="BlockText"/>
      </w:pPr>
      <w:r>
        <w:rPr>
          <w:iCs/>
          <w:i/>
          <w:color w:val="606060"/>
        </w:rPr>
        <w:t xml:space="preserve">Superseded by file 05 (05_Ch4_PT_project_cost_limitation), which answers the examiner’s separate comment on PT and contains the final text for Sections 4.3.1, 4.3.3, 4.4.1, 4.5.2 and 4.6. Use that version instead of the earlier draft that was here.</w:t>
      </w:r>
    </w:p>
    <w:bookmarkEnd w:id="24"/>
    <w:bookmarkStart w:id="25" w:name="d3.-chapter-5"/>
    <w:p>
      <w:pPr>
        <w:pStyle w:val="Heading2"/>
      </w:pPr>
      <w:r>
        <w:t xml:space="preserve">D3. Chapter 5</w:t>
      </w:r>
    </w:p>
    <w:p>
      <w:pPr>
        <w:pStyle w:val="BlockText"/>
      </w:pPr>
      <w:r>
        <w:rPr>
          <w:iCs/>
          <w:i/>
          <w:color w:val="606060"/>
        </w:rPr>
        <w:t xml:space="preserve">(a) Section 5.3.2: insert after the paragraph listing the input variables for the Malmquist computation (berth length, berth depth, number of berths, terminal area, crane capacities and labour).</w:t>
      </w:r>
    </w:p>
    <w:p>
      <w:pPr>
        <w:pStyle w:val="FirstParagraph"/>
      </w:pPr>
      <w:r>
        <w:rPr>
          <w:color w:val="7030A0"/>
        </w:rPr>
        <w:t xml:space="preserve">The equipment variables require a note on how technology is represented. Cranes are technologies embodied in physical equipment, and their technological level cannot easily be separated from their investment cost (Section 2.1.2). This chapter therefore measures equipment by its number and lifting capacity rather than by its cost, which avoids treating price as a measure of technology. Capacity, however, does not capture all the qualitative features of new equipment, such as automation, remote control or electrification, so terminals with similar crane capacity may still differ in the technology their equipment embodies. In the Malmquist decomposition, crane capacity is an input, and technological progress (techch) is measured as the shift of the production frontier. This frontier shift captures improvements that raise output beyond what the measured inputs explain. It therefore includes both the technology embodied in new equipment that is not reflected in its capacity and disembodied improvements, such as better terminal operating systems and management practices. With the available data, these two components cannot be separated (Hulten, 1992), and techch is interpreted as overall technological progress at the terminal level. The random coefficient model also allows the initial level and the rate of technological progress to differ between terminals, which accommodates the heterogeneity of technology across terminal operators.</w:t>
      </w:r>
    </w:p>
    <w:p>
      <w:pPr>
        <w:pStyle w:val="BlockText"/>
      </w:pPr>
      <w:r>
        <w:rPr>
          <w:iCs/>
          <w:i/>
          <w:color w:val="606060"/>
        </w:rPr>
        <w:t xml:space="preserve">(b) Section 5.6: add to the limitations paragraph.</w:t>
      </w:r>
    </w:p>
    <w:p>
      <w:pPr>
        <w:pStyle w:val="FirstParagraph"/>
      </w:pPr>
      <w:r>
        <w:rPr>
          <w:color w:val="7030A0"/>
        </w:rPr>
        <w:t xml:space="preserve">In addition, because technology is embodied in cranes and other equipment, the analysis cannot separate the contribution of the technology embodied in new equipment from disembodied improvements in operations and management. Future studies could use equipment-level data on automation status, control systems and vintage to distinguish them.</w:t>
      </w:r>
    </w:p>
    <w:bookmarkEnd w:id="25"/>
    <w:bookmarkStart w:id="26" w:name="d4.-chapter-6"/>
    <w:p>
      <w:pPr>
        <w:pStyle w:val="Heading2"/>
      </w:pPr>
      <w:r>
        <w:t xml:space="preserve">D4. Chapter 6</w:t>
      </w:r>
    </w:p>
    <w:p>
      <w:pPr>
        <w:pStyle w:val="BlockText"/>
      </w:pPr>
      <w:r>
        <w:rPr>
          <w:iCs/>
          <w:i/>
          <w:color w:val="606060"/>
        </w:rPr>
        <w:t xml:space="preserve">(a) Section 6.3: insert after the paragraph describing the harbour craft and its two 240 kW high-speed diesel engines. Please confirm that all blends (MGO, B30, B50 and B100) were tested on the same craft and engines, as the paragraph assumes.</w:t>
      </w:r>
    </w:p>
    <w:p>
      <w:pPr>
        <w:pStyle w:val="FirstParagraph"/>
      </w:pPr>
      <w:r>
        <w:rPr>
          <w:color w:val="7030A0"/>
        </w:rPr>
        <w:t xml:space="preserve">Biofuel is a technology whose performance cannot be separated from the engine in which it is used. Biodiesel blends are largely compatible with existing diesel engines (Section 6.1), so their adoption does not require new equipment, but their effects on fuel consumption and emissions vary with engine type and operating conditions (Chountalas et al., 2023; Lapuerta et al., 2008). The sea trials tested all fuel blends on the same harbour craft and the same two engines, with engine maintenance status recorded as an input feature. This design holds the equipment constant, so that the differences between blends can be attributed to the fuel rather than to differences between vessels or engines. It also means that the results describe the performance of the blends in this type of engine.</w:t>
      </w:r>
    </w:p>
    <w:p>
      <w:pPr>
        <w:pStyle w:val="BlockText"/>
      </w:pPr>
      <w:r>
        <w:rPr>
          <w:iCs/>
          <w:i/>
          <w:color w:val="606060"/>
        </w:rPr>
        <w:t xml:space="preserve">(b) Section 6.5: add after the sentence on generalisation across very different vessel types and ports.</w:t>
      </w:r>
    </w:p>
    <w:p>
      <w:pPr>
        <w:pStyle w:val="FirstParagraph"/>
      </w:pPr>
      <w:r>
        <w:rPr>
          <w:color w:val="7030A0"/>
        </w:rPr>
        <w:t xml:space="preserve">The results refer to biodiesel blends in high-speed diesel engines of the type tested. Other engine types may respond differently: a review of marine engine tests reports different fuel-consumption and NOₓ responses to the same blend in two-stroke propulsion engines and four-stroke auxiliary engines (Chountalas et al., 2023).</w:t>
      </w:r>
    </w:p>
    <w:bookmarkEnd w:id="26"/>
    <w:bookmarkStart w:id="27" w:name="d5.-chapter-7"/>
    <w:p>
      <w:pPr>
        <w:pStyle w:val="Heading2"/>
      </w:pPr>
      <w:r>
        <w:t xml:space="preserve">D5. Chapter 7</w:t>
      </w:r>
    </w:p>
    <w:p>
      <w:pPr>
        <w:pStyle w:val="BlockText"/>
      </w:pPr>
      <w:r>
        <w:rPr>
          <w:iCs/>
          <w:i/>
          <w:color w:val="606060"/>
        </w:rPr>
        <w:t xml:space="preserve">(a) Section 7.2.3: insert after Table [new-3] and before the paragraph beginning</w:t>
      </w:r>
      <w:r>
        <w:rPr>
          <w:iCs/>
          <w:i/>
          <w:color w:val="606060"/>
        </w:rPr>
        <w:t xml:space="preserve"> </w:t>
      </w:r>
      <w:r>
        <w:rPr>
          <w:iCs/>
          <w:i/>
          <w:color w:val="606060"/>
        </w:rPr>
        <w:t xml:space="preserve">“</w:t>
      </w:r>
      <w:r>
        <w:rPr>
          <w:iCs/>
          <w:i/>
          <w:color w:val="606060"/>
        </w:rPr>
        <w:t xml:space="preserve">The European finding that incentives work largely by strengthening capability…</w:t>
      </w:r>
      <w:r>
        <w:rPr>
          <w:iCs/>
          <w:i/>
          <w:color w:val="606060"/>
        </w:rPr>
        <w:t xml:space="preserve">”</w:t>
      </w:r>
      <w:r>
        <w:rPr>
          <w:iCs/>
          <w:i/>
          <w:color w:val="606060"/>
        </w:rPr>
        <w:t xml:space="preserve">. This paragraph has also been added to file 01.</w:t>
      </w:r>
    </w:p>
    <w:p>
      <w:pPr>
        <w:pStyle w:val="FirstParagraph"/>
      </w:pPr>
      <w:r>
        <w:rPr>
          <w:color w:val="7030A0"/>
        </w:rPr>
        <w:t xml:space="preserve">Transferability is limited not only by context but also by the nature of technology itself. As discussed in Sections 2.1.2 and 2.4, technology is heterogeneous and is usually embodied in machines and equipment. Each study therefore measures technology in a form suited to its level: national indicators of the technology development level in Chapter 4, the number and capacity of cranes together with the Malmquist frontier shift in Chapter 5, and the performance of fuel blends in a given engine in Chapter 6. The findings refer to these specific forms of technology and should not be generalised to technology as a whole. The Chapter 5 results concern cargo-handling cranes in container terminals and may not hold for digital systems, and the Chapter 6 results concern biodiesel blends in high-speed diesel engines and may differ for other engine types (Chountalas et al., 2023).</w:t>
      </w:r>
    </w:p>
    <w:p>
      <w:pPr>
        <w:pStyle w:val="BlockText"/>
      </w:pPr>
      <w:r>
        <w:rPr>
          <w:iCs/>
          <w:i/>
          <w:color w:val="606060"/>
        </w:rPr>
        <w:t xml:space="preserve">(b) Section 7.3 (old 7.2) Key research contributions: add to the methodological contribution.</w:t>
      </w:r>
    </w:p>
    <w:p>
      <w:pPr>
        <w:pStyle w:val="FirstParagraph"/>
      </w:pPr>
      <w:r>
        <w:rPr>
          <w:color w:val="7030A0"/>
        </w:rPr>
        <w:t xml:space="preserve">Methodologically, the thesis also shows how technology can be measured at different levels in ways that take account of its heterogeneous and embodied nature: through output indicators of the technology development level at the national level, physical equipment measures and productivity decomposition at the terminal level, and comparisons with the equipment held constant at the operational level.</w:t>
      </w:r>
    </w:p>
    <w:p>
      <w:pPr>
        <w:pStyle w:val="BlockText"/>
      </w:pPr>
      <w:r>
        <w:rPr>
          <w:iCs/>
          <w:i/>
          <w:color w:val="606060"/>
        </w:rPr>
        <w:t xml:space="preserve">(c) Section 7.4 (old 7.3) Limitations and future research: add as a new limitation after the current third point, and add the future-research sentence to the paragraph of recommendations.</w:t>
      </w:r>
    </w:p>
    <w:p>
      <w:pPr>
        <w:pStyle w:val="FirstParagraph"/>
      </w:pPr>
      <w:r>
        <w:rPr>
          <w:color w:val="7030A0"/>
        </w:rPr>
        <w:t xml:space="preserve">Fourth, because most technologies are embodied in equipment and infrastructure, the thesis could not fully separate the value or contribution of technology from that of the physical assets that carry it. In Chapter 4, participation is partly measured by project cost, which includes the cost of equipment and works; in Chapter 5, the frontier shift combines embodied and disembodied technological progress; and in Chapter 6, the effects of the fuel are specific to the engines tested.</w:t>
      </w:r>
    </w:p>
    <w:p>
      <w:pPr>
        <w:pStyle w:val="BodyText"/>
      </w:pPr>
      <w:r>
        <w:rPr>
          <w:color w:val="7030A0"/>
        </w:rPr>
        <w:t xml:space="preserve">Future research could separate the technology component of equipment more directly, for example by using equipment-level data on automation, control systems and vintage, by measuring capital in quality-adjusted terms as proposed in the growth-accounting literature (Hulten, 1992), or by estimating partial factor productivity at the activity level, as has been done for equipment technology in construction (Goodrum &amp; Haas, 2002).</w:t>
      </w:r>
    </w:p>
    <w:bookmarkEnd w:id="27"/>
    <w:bookmarkEnd w:id="28"/>
    <w:bookmarkStart w:id="29" w:name="part-e-draft-response-to-the-examiner"/>
    <w:p>
      <w:pPr>
        <w:pStyle w:val="Heading1"/>
      </w:pPr>
      <w:r>
        <w:t xml:space="preserve">PART E — DRAFT RESPONSE TO THE EXAMINER</w:t>
      </w:r>
    </w:p>
    <w:p>
      <w:pPr>
        <w:pStyle w:val="BlockText"/>
      </w:pPr>
      <w:r>
        <w:rPr>
          <w:iCs/>
          <w:i/>
          <w:color w:val="606060"/>
        </w:rPr>
        <w:t xml:space="preserve">To be placed in the Examiner 4 response letter. Page numbers will be added once the revised thesis is paginated.</w:t>
      </w:r>
    </w:p>
    <w:p>
      <w:pPr>
        <w:pStyle w:val="FirstParagraph"/>
      </w:pPr>
      <w:r>
        <w:rPr>
          <w:color w:val="7030A0"/>
        </w:rPr>
        <w:t xml:space="preserve">We thank the examiner for this helpful suggestion. We agree that listing only two gaps was too limited and that the heterogeneous and embodied nature of technology deserved explicit treatment. Section 2.4 has been rewritten and now identifies six gaps in three groups: two conceptual and measurement gaps arising from the heterogeneity of technology and from its embodiment in machines and equipment, a theoretical gap, and three empirical gaps at the national, organisational and operational levels. A new table (Table [new-2.1]) summarises the gaps and how the thesis responds to each. To support the two new gaps, Section 2.1.2 now discusses heterogeneity and embodiment as challenges for measuring technology and analysing its impact, drawing on the literature on sectoral patterns of technical change, innovation indicators and embodied technological change (e.g., Hulten, 1992; Kleinknecht et al., 2002; Pavitt, 1984; Sakellaris &amp; Wilson, 2004).</w:t>
      </w:r>
    </w:p>
    <w:p>
      <w:pPr>
        <w:pStyle w:val="BodyText"/>
      </w:pPr>
      <w:r>
        <w:rPr>
          <w:color w:val="7030A0"/>
        </w:rPr>
        <w:t xml:space="preserve">We have also carried this point through the rest of the thesis. Section 4.3.1 now explains that project cost is interpreted as the scale of resources committed to technology projects rather than the value of the technology, and Section 4.6 lists the possible overstatement as a limitation. Section 5.3.2 explains that cranes are measured by number and capacity rather than cost, and that the Malmquist frontier shift combines technology embodied in new equipment with disembodied improvements. Section 6.3 explains that the sea trials held the craft and engines constant, so that the fuel effects are not confounded with differences in equipment, while the results remain specific to the engine type tested. Sections 7.2.3, 7.3 and 7.4 discuss the implications for transferability, the methodological contribution, the remaining limitations and directions for future research.</w:t>
      </w:r>
    </w:p>
    <w:bookmarkEnd w:id="29"/>
    <w:bookmarkStart w:id="30" w:name="references"/>
    <w:p>
      <w:pPr>
        <w:pStyle w:val="Heading1"/>
      </w:pPr>
      <w:r>
        <w:t xml:space="preserve">REFERENCES</w:t>
      </w:r>
    </w:p>
    <w:p>
      <w:pPr>
        <w:pStyle w:val="BlockText"/>
      </w:pPr>
      <w:r>
        <w:rPr>
          <w:iCs/>
          <w:i/>
          <w:color w:val="606060"/>
        </w:rPr>
        <w:t xml:space="preserve">New entries to add to the reference list (APA 7). † = already in your list. ‡ = a detail I could not confirm (stated after the entry).</w:t>
      </w:r>
    </w:p>
    <w:p>
      <w:pPr>
        <w:pStyle w:val="FirstParagraph"/>
      </w:pPr>
      <w:r>
        <w:rPr>
          <w:color w:val="7030A0"/>
        </w:rPr>
        <w:t xml:space="preserve">Acciaro, M., Vanelslander, T., Sys, C., Ferrari, C., Roumboutsos, A., Giuliano, G., Lam, J. S. L., &amp; Kapros, S. (2014). Environmental sustainability in seaports: A framework for successful innovation.</w:t>
      </w:r>
      <w:r>
        <w:rPr>
          <w:color w:val="7030A0"/>
        </w:rPr>
        <w:t xml:space="preserve"> </w:t>
      </w:r>
      <w:r>
        <w:rPr>
          <w:iCs/>
          <w:i/>
          <w:color w:val="7030A0"/>
        </w:rPr>
        <w:t xml:space="preserve">Maritime Policy &amp; Management, 41</w:t>
      </w:r>
      <w:r>
        <w:rPr>
          <w:color w:val="7030A0"/>
        </w:rPr>
        <w:t xml:space="preserve">(5), 480–500. https://doi.org/10.1080/03088839.2014.932926 †</w:t>
      </w:r>
    </w:p>
    <w:p>
      <w:pPr>
        <w:pStyle w:val="BodyText"/>
      </w:pPr>
      <w:r>
        <w:rPr>
          <w:color w:val="7030A0"/>
        </w:rPr>
        <w:t xml:space="preserve">Archibugi, D., &amp; Coco, A. (2005). Measuring technological capabilities at the country level: A survey and a menu for choice.</w:t>
      </w:r>
      <w:r>
        <w:rPr>
          <w:color w:val="7030A0"/>
        </w:rPr>
        <w:t xml:space="preserve"> </w:t>
      </w:r>
      <w:r>
        <w:rPr>
          <w:iCs/>
          <w:i/>
          <w:color w:val="7030A0"/>
        </w:rPr>
        <w:t xml:space="preserve">Research Policy, 34</w:t>
      </w:r>
      <w:r>
        <w:rPr>
          <w:color w:val="7030A0"/>
        </w:rPr>
        <w:t xml:space="preserve">(2), 175–194. https://doi.org/10.1016/j.respol.2004.12.002 †</w:t>
      </w:r>
    </w:p>
    <w:p>
      <w:pPr>
        <w:pStyle w:val="BodyText"/>
      </w:pPr>
      <w:r>
        <w:rPr>
          <w:color w:val="7030A0"/>
        </w:rPr>
        <w:t xml:space="preserve">Bai, X., Zhang, X., Li, K. X., Zhou, Y., &amp; Yuen, K. F. (2021). Research topics and trends in the maritime transport: A structural topic model.</w:t>
      </w:r>
      <w:r>
        <w:rPr>
          <w:color w:val="7030A0"/>
        </w:rPr>
        <w:t xml:space="preserve"> </w:t>
      </w:r>
      <w:r>
        <w:rPr>
          <w:iCs/>
          <w:i/>
          <w:color w:val="7030A0"/>
        </w:rPr>
        <w:t xml:space="preserve">Transport Policy, 102</w:t>
      </w:r>
      <w:r>
        <w:rPr>
          <w:color w:val="7030A0"/>
        </w:rPr>
        <w:t xml:space="preserve">, 11–24. https://doi.org/10.1016/j.tranpol.2020.12.013 †</w:t>
      </w:r>
    </w:p>
    <w:p>
      <w:pPr>
        <w:pStyle w:val="BodyText"/>
      </w:pPr>
      <w:r>
        <w:rPr>
          <w:color w:val="7030A0"/>
        </w:rPr>
        <w:t xml:space="preserve">Bengtsson, S., Fridell, E., &amp; Andersson, K. (2012). Environmental assessment of two pathways towards the use of biofuels in shipping.</w:t>
      </w:r>
      <w:r>
        <w:rPr>
          <w:color w:val="7030A0"/>
        </w:rPr>
        <w:t xml:space="preserve"> </w:t>
      </w:r>
      <w:r>
        <w:rPr>
          <w:iCs/>
          <w:i/>
          <w:color w:val="7030A0"/>
        </w:rPr>
        <w:t xml:space="preserve">Energy Policy, 44</w:t>
      </w:r>
      <w:r>
        <w:rPr>
          <w:color w:val="7030A0"/>
        </w:rPr>
        <w:t xml:space="preserve">, 451–463. https://doi.org/10.1016/j.enpol.2012.02.030</w:t>
      </w:r>
    </w:p>
    <w:p>
      <w:pPr>
        <w:pStyle w:val="BodyText"/>
      </w:pPr>
      <w:r>
        <w:rPr>
          <w:color w:val="7030A0"/>
        </w:rPr>
        <w:t xml:space="preserve">Bjerkan, K. Y., &amp; Seter, H. (2019). Reviewing tools and technologies for sustainable ports: Does research enable decision making in ports?</w:t>
      </w:r>
      <w:r>
        <w:rPr>
          <w:color w:val="7030A0"/>
        </w:rPr>
        <w:t xml:space="preserve"> </w:t>
      </w:r>
      <w:r>
        <w:rPr>
          <w:iCs/>
          <w:i/>
          <w:color w:val="7030A0"/>
        </w:rPr>
        <w:t xml:space="preserve">Transportation Research Part D: Transport and Environment, 72</w:t>
      </w:r>
      <w:r>
        <w:rPr>
          <w:color w:val="7030A0"/>
        </w:rPr>
        <w:t xml:space="preserve">, 243–260. https://doi.org/10.1016/j.trd.2019.05.003 †</w:t>
      </w:r>
    </w:p>
    <w:p>
      <w:pPr>
        <w:pStyle w:val="BodyText"/>
      </w:pPr>
      <w:r>
        <w:rPr>
          <w:color w:val="7030A0"/>
        </w:rPr>
        <w:t xml:space="preserve">Cheon, S., Dowall, D. E., &amp; Song, D.-W. (2010). Evaluating impacts of institutional reforms on port efficiency changes: Ownership, corporate structure, and total factor productivity changes of world container ports.</w:t>
      </w:r>
      <w:r>
        <w:rPr>
          <w:color w:val="7030A0"/>
        </w:rPr>
        <w:t xml:space="preserve"> </w:t>
      </w:r>
      <w:r>
        <w:rPr>
          <w:iCs/>
          <w:i/>
          <w:color w:val="7030A0"/>
        </w:rPr>
        <w:t xml:space="preserve">Transportation Research Part E: Logistics and Transportation Review, 46</w:t>
      </w:r>
      <w:r>
        <w:rPr>
          <w:color w:val="7030A0"/>
        </w:rPr>
        <w:t xml:space="preserve">(4), 546–561. https://doi.org/10.1016/j.tre.2009.04.001 † (your entry is truncated; this completes it)</w:t>
      </w:r>
    </w:p>
    <w:p>
      <w:pPr>
        <w:pStyle w:val="BodyText"/>
      </w:pPr>
      <w:r>
        <w:rPr>
          <w:color w:val="7030A0"/>
        </w:rPr>
        <w:t xml:space="preserve">Chountalas, T. D., Founti, M., &amp; Hountalas, D. T. (2023). Review of biofuel effect on emissions of various types of marine propulsion and auxiliary engines.</w:t>
      </w:r>
      <w:r>
        <w:rPr>
          <w:color w:val="7030A0"/>
        </w:rPr>
        <w:t xml:space="preserve"> </w:t>
      </w:r>
      <w:r>
        <w:rPr>
          <w:iCs/>
          <w:i/>
          <w:color w:val="7030A0"/>
        </w:rPr>
        <w:t xml:space="preserve">Energies, 16</w:t>
      </w:r>
      <w:r>
        <w:rPr>
          <w:color w:val="7030A0"/>
        </w:rPr>
        <w:t xml:space="preserve">(12), 4647. https://doi.org/10.3390/en16124647</w:t>
      </w:r>
    </w:p>
    <w:p>
      <w:pPr>
        <w:pStyle w:val="BodyText"/>
      </w:pPr>
      <w:r>
        <w:rPr>
          <w:color w:val="7030A0"/>
        </w:rPr>
        <w:t xml:space="preserve">Cruz, C. O., &amp; Marques, R. C. (2013).</w:t>
      </w:r>
      <w:r>
        <w:rPr>
          <w:color w:val="7030A0"/>
        </w:rPr>
        <w:t xml:space="preserve"> </w:t>
      </w:r>
      <w:r>
        <w:rPr>
          <w:iCs/>
          <w:i/>
          <w:color w:val="7030A0"/>
        </w:rPr>
        <w:t xml:space="preserve">Infrastructure public-private partnerships: Decision, management and development</w:t>
      </w:r>
      <w:r>
        <w:rPr>
          <w:color w:val="7030A0"/>
        </w:rPr>
        <w:t xml:space="preserve">. Springer. https://doi.org/10.1007/978-3-642-36910-0</w:t>
      </w:r>
    </w:p>
    <w:p>
      <w:pPr>
        <w:pStyle w:val="BodyText"/>
      </w:pPr>
      <w:r>
        <w:rPr>
          <w:color w:val="7030A0"/>
        </w:rPr>
        <w:t xml:space="preserve">Cullinane, K., Song, D.-W., &amp; Gray, R. (2002). A stochastic frontier model of the efficiency of major container terminals in Asia: Assessing the influence of administrative and ownership structures.</w:t>
      </w:r>
      <w:r>
        <w:rPr>
          <w:color w:val="7030A0"/>
        </w:rPr>
        <w:t xml:space="preserve"> </w:t>
      </w:r>
      <w:r>
        <w:rPr>
          <w:iCs/>
          <w:i/>
          <w:color w:val="7030A0"/>
        </w:rPr>
        <w:t xml:space="preserve">Transportation Research Part A: Policy and Practice, 36</w:t>
      </w:r>
      <w:r>
        <w:rPr>
          <w:color w:val="7030A0"/>
        </w:rPr>
        <w:t xml:space="preserve">(8), 743–762. †</w:t>
      </w:r>
    </w:p>
    <w:p>
      <w:pPr>
        <w:pStyle w:val="BodyText"/>
      </w:pPr>
      <w:r>
        <w:rPr>
          <w:color w:val="7030A0"/>
        </w:rPr>
        <w:t xml:space="preserve">Dziallas, M., &amp; Blind, K. (2019). Innovation indicators throughout the innovation process: An extensive literature analysis.</w:t>
      </w:r>
      <w:r>
        <w:rPr>
          <w:color w:val="7030A0"/>
        </w:rPr>
        <w:t xml:space="preserve"> </w:t>
      </w:r>
      <w:r>
        <w:rPr>
          <w:iCs/>
          <w:i/>
          <w:color w:val="7030A0"/>
        </w:rPr>
        <w:t xml:space="preserve">Technovation, 80–81</w:t>
      </w:r>
      <w:r>
        <w:rPr>
          <w:color w:val="7030A0"/>
        </w:rPr>
        <w:t xml:space="preserve">, 3–29. https://doi.org/10.1016/j.technovation.2018.05.005 †</w:t>
      </w:r>
    </w:p>
    <w:p>
      <w:pPr>
        <w:pStyle w:val="BodyText"/>
      </w:pPr>
      <w:r>
        <w:rPr>
          <w:color w:val="7030A0"/>
        </w:rPr>
        <w:t xml:space="preserve">Estache, A., &amp; Fay, M. (2007).</w:t>
      </w:r>
      <w:r>
        <w:rPr>
          <w:color w:val="7030A0"/>
        </w:rPr>
        <w:t xml:space="preserve"> </w:t>
      </w:r>
      <w:r>
        <w:rPr>
          <w:iCs/>
          <w:i/>
          <w:color w:val="7030A0"/>
        </w:rPr>
        <w:t xml:space="preserve">Current debates on infrastructure policy</w:t>
      </w:r>
      <w:r>
        <w:rPr>
          <w:color w:val="7030A0"/>
        </w:rPr>
        <w:t xml:space="preserve"> </w:t>
      </w:r>
      <w:r>
        <w:rPr>
          <w:color w:val="7030A0"/>
        </w:rPr>
        <w:t xml:space="preserve">(Policy Research Working Paper No. 4410). World Bank. http://hdl.handle.net/10986/7651</w:t>
      </w:r>
    </w:p>
    <w:p>
      <w:pPr>
        <w:pStyle w:val="BodyText"/>
      </w:pPr>
      <w:r>
        <w:rPr>
          <w:color w:val="7030A0"/>
        </w:rPr>
        <w:t xml:space="preserve">European Commission. (2023b).</w:t>
      </w:r>
      <w:r>
        <w:rPr>
          <w:color w:val="7030A0"/>
        </w:rPr>
        <w:t xml:space="preserve"> </w:t>
      </w:r>
      <w:r>
        <w:rPr>
          <w:iCs/>
          <w:i/>
          <w:color w:val="7030A0"/>
        </w:rPr>
        <w:t xml:space="preserve">Transport Research and Innovation Monitoring and Information System</w:t>
      </w:r>
      <w:r>
        <w:rPr>
          <w:color w:val="7030A0"/>
        </w:rPr>
        <w:t xml:space="preserve">. https://trimis.ec.europa.eu †</w:t>
      </w:r>
    </w:p>
    <w:p>
      <w:pPr>
        <w:pStyle w:val="BodyText"/>
      </w:pPr>
      <w:r>
        <w:rPr>
          <w:color w:val="7030A0"/>
        </w:rPr>
        <w:t xml:space="preserve">Gharehgozli, A. H., Roy, D., &amp; de Koster, R. (2016). Sea container terminals: New technologies and OR models.</w:t>
      </w:r>
      <w:r>
        <w:rPr>
          <w:color w:val="7030A0"/>
        </w:rPr>
        <w:t xml:space="preserve"> </w:t>
      </w:r>
      <w:r>
        <w:rPr>
          <w:iCs/>
          <w:i/>
          <w:color w:val="7030A0"/>
        </w:rPr>
        <w:t xml:space="preserve">Maritime Economics &amp; Logistics, 18</w:t>
      </w:r>
      <w:r>
        <w:rPr>
          <w:color w:val="7030A0"/>
        </w:rPr>
        <w:t xml:space="preserve">(2), 103–140. https://doi.org/10.1057/mel.2015.3 †</w:t>
      </w:r>
    </w:p>
    <w:p>
      <w:pPr>
        <w:pStyle w:val="BodyText"/>
      </w:pPr>
      <w:r>
        <w:rPr>
          <w:color w:val="7030A0"/>
        </w:rPr>
        <w:t xml:space="preserve">Goodrum, P. M., &amp; Haas, C. T. (2002). Partial factor productivity and equipment technology change at activity level in U.S. construction industry.</w:t>
      </w:r>
      <w:r>
        <w:rPr>
          <w:color w:val="7030A0"/>
        </w:rPr>
        <w:t xml:space="preserve"> </w:t>
      </w:r>
      <w:r>
        <w:rPr>
          <w:iCs/>
          <w:i/>
          <w:color w:val="7030A0"/>
        </w:rPr>
        <w:t xml:space="preserve">Journal of Construction Engineering and Management, 128</w:t>
      </w:r>
      <w:r>
        <w:rPr>
          <w:color w:val="7030A0"/>
        </w:rPr>
        <w:t xml:space="preserve">(6), 463–472. https://doi.org/10.1061/(ASCE)0733-9364(2002)128:6(463) †</w:t>
      </w:r>
    </w:p>
    <w:p>
      <w:pPr>
        <w:pStyle w:val="BodyText"/>
      </w:pPr>
      <w:r>
        <w:rPr>
          <w:color w:val="7030A0"/>
        </w:rPr>
        <w:t xml:space="preserve">Greenwood, J., Hercowitz, Z., &amp; Krusell, P. (1997). Long-run implications of investment-specific technological change.</w:t>
      </w:r>
      <w:r>
        <w:rPr>
          <w:color w:val="7030A0"/>
        </w:rPr>
        <w:t xml:space="preserve"> </w:t>
      </w:r>
      <w:r>
        <w:rPr>
          <w:iCs/>
          <w:i/>
          <w:color w:val="7030A0"/>
        </w:rPr>
        <w:t xml:space="preserve">American Economic Review, 87</w:t>
      </w:r>
      <w:r>
        <w:rPr>
          <w:color w:val="7030A0"/>
        </w:rPr>
        <w:t xml:space="preserve">(3), 342–362.</w:t>
      </w:r>
    </w:p>
    <w:p>
      <w:pPr>
        <w:pStyle w:val="BodyText"/>
      </w:pPr>
      <w:r>
        <w:rPr>
          <w:color w:val="7030A0"/>
        </w:rPr>
        <w:t xml:space="preserve">Haralambides, H. E. (2002). Competition, excess capacity, and the pricing of port infrastructure.</w:t>
      </w:r>
      <w:r>
        <w:rPr>
          <w:color w:val="7030A0"/>
        </w:rPr>
        <w:t xml:space="preserve"> </w:t>
      </w:r>
      <w:r>
        <w:rPr>
          <w:iCs/>
          <w:i/>
          <w:color w:val="7030A0"/>
        </w:rPr>
        <w:t xml:space="preserve">International Journal of Maritime Economics, 4</w:t>
      </w:r>
      <w:r>
        <w:rPr>
          <w:color w:val="7030A0"/>
        </w:rPr>
        <w:t xml:space="preserve">(4), 323–347. https://doi.org/10.1057/palgrave.ijme.9100053</w:t>
      </w:r>
    </w:p>
    <w:p>
      <w:pPr>
        <w:pStyle w:val="BodyText"/>
      </w:pPr>
      <w:r>
        <w:rPr>
          <w:color w:val="7030A0"/>
        </w:rPr>
        <w:t xml:space="preserve">Hulten, C. R. (1992). Growth accounting when technical change is embodied in capital.</w:t>
      </w:r>
      <w:r>
        <w:rPr>
          <w:color w:val="7030A0"/>
        </w:rPr>
        <w:t xml:space="preserve"> </w:t>
      </w:r>
      <w:r>
        <w:rPr>
          <w:iCs/>
          <w:i/>
          <w:color w:val="7030A0"/>
        </w:rPr>
        <w:t xml:space="preserve">American Economic Review, 82</w:t>
      </w:r>
      <w:r>
        <w:rPr>
          <w:color w:val="7030A0"/>
        </w:rPr>
        <w:t xml:space="preserve">(4), 964–980.</w:t>
      </w:r>
    </w:p>
    <w:p>
      <w:pPr>
        <w:pStyle w:val="BodyText"/>
      </w:pPr>
      <w:r>
        <w:rPr>
          <w:color w:val="7030A0"/>
        </w:rPr>
        <w:t xml:space="preserve">Kleinknecht, A., Van Montfort, K., &amp; Brouwer, E. (2002). The non-trivial choice between innovation indicators.</w:t>
      </w:r>
      <w:r>
        <w:rPr>
          <w:color w:val="7030A0"/>
        </w:rPr>
        <w:t xml:space="preserve"> </w:t>
      </w:r>
      <w:r>
        <w:rPr>
          <w:iCs/>
          <w:i/>
          <w:color w:val="7030A0"/>
        </w:rPr>
        <w:t xml:space="preserve">Economics of Innovation and New Technology, 11</w:t>
      </w:r>
      <w:r>
        <w:rPr>
          <w:color w:val="7030A0"/>
        </w:rPr>
        <w:t xml:space="preserve">(2), 109–121. https://doi.org/10.1080/10438590210899</w:t>
      </w:r>
    </w:p>
    <w:p>
      <w:pPr>
        <w:pStyle w:val="BodyText"/>
      </w:pPr>
      <w:r>
        <w:rPr>
          <w:color w:val="7030A0"/>
        </w:rPr>
        <w:t xml:space="preserve">Kosiek, J., Kaizer, A., Salomon, A., &amp; Sacharko, A. (2021). Analysis of modern port technologies based on literature review.</w:t>
      </w:r>
      <w:r>
        <w:rPr>
          <w:color w:val="7030A0"/>
        </w:rPr>
        <w:t xml:space="preserve"> </w:t>
      </w:r>
      <w:r>
        <w:rPr>
          <w:iCs/>
          <w:i/>
          <w:color w:val="7030A0"/>
        </w:rPr>
        <w:t xml:space="preserve">TransNav: International Journal on Marine Navigation and Safety of Sea Transportation, 15</w:t>
      </w:r>
      <w:r>
        <w:rPr>
          <w:color w:val="7030A0"/>
        </w:rPr>
        <w:t xml:space="preserve">(3), 667–674. †</w:t>
      </w:r>
    </w:p>
    <w:p>
      <w:pPr>
        <w:pStyle w:val="BodyText"/>
      </w:pPr>
      <w:r>
        <w:rPr>
          <w:color w:val="7030A0"/>
        </w:rPr>
        <w:t xml:space="preserve">Lapuerta, M., Armas, O., &amp; Rodríguez-Fernández, J. (2008). Effect of biodiesel fuels on diesel engine emissions.</w:t>
      </w:r>
      <w:r>
        <w:rPr>
          <w:color w:val="7030A0"/>
        </w:rPr>
        <w:t xml:space="preserve"> </w:t>
      </w:r>
      <w:r>
        <w:rPr>
          <w:iCs/>
          <w:i/>
          <w:color w:val="7030A0"/>
        </w:rPr>
        <w:t xml:space="preserve">Progress in Energy and Combustion Science, 34</w:t>
      </w:r>
      <w:r>
        <w:rPr>
          <w:color w:val="7030A0"/>
        </w:rPr>
        <w:t xml:space="preserve">(2), 198–223. https://doi.org/10.1016/j.pecs.2007.07.001 (also in file 01)</w:t>
      </w:r>
    </w:p>
    <w:p>
      <w:pPr>
        <w:pStyle w:val="BodyText"/>
      </w:pPr>
      <w:r>
        <w:rPr>
          <w:color w:val="7030A0"/>
        </w:rPr>
        <w:t xml:space="preserve">Malerba, F., &amp; Orsenigo, L. (1996). Schumpeterian patterns of innovation are technology-specific.</w:t>
      </w:r>
      <w:r>
        <w:rPr>
          <w:color w:val="7030A0"/>
        </w:rPr>
        <w:t xml:space="preserve"> </w:t>
      </w:r>
      <w:r>
        <w:rPr>
          <w:iCs/>
          <w:i/>
          <w:color w:val="7030A0"/>
        </w:rPr>
        <w:t xml:space="preserve">Research Policy, 25</w:t>
      </w:r>
      <w:r>
        <w:rPr>
          <w:color w:val="7030A0"/>
        </w:rPr>
        <w:t xml:space="preserve">(3), 451–478. https://doi.org/10.1016/0048-7333(95)00840-3 †</w:t>
      </w:r>
    </w:p>
    <w:p>
      <w:pPr>
        <w:pStyle w:val="BodyText"/>
      </w:pPr>
      <w:r>
        <w:rPr>
          <w:color w:val="7030A0"/>
        </w:rPr>
        <w:t xml:space="preserve">Odeck, J., &amp; Bråthen, S. (2012). A meta-analysis of DEA and SFA studies of the technical efficiency of seaports: A comparison of fixed and random-effects regression models.</w:t>
      </w:r>
      <w:r>
        <w:rPr>
          <w:color w:val="7030A0"/>
        </w:rPr>
        <w:t xml:space="preserve"> </w:t>
      </w:r>
      <w:r>
        <w:rPr>
          <w:iCs/>
          <w:i/>
          <w:color w:val="7030A0"/>
        </w:rPr>
        <w:t xml:space="preserve">Transportation Research Part A: Policy and Practice, 46</w:t>
      </w:r>
      <w:r>
        <w:rPr>
          <w:color w:val="7030A0"/>
        </w:rPr>
        <w:t xml:space="preserve">(10), 1574–1585. https://doi.org/10.1016/j.tra.2012.08.006</w:t>
      </w:r>
    </w:p>
    <w:p>
      <w:pPr>
        <w:pStyle w:val="BodyText"/>
      </w:pPr>
      <w:r>
        <w:rPr>
          <w:color w:val="7030A0"/>
        </w:rPr>
        <w:t xml:space="preserve">OECD &amp; Eurostat. (2005).</w:t>
      </w:r>
      <w:r>
        <w:rPr>
          <w:color w:val="7030A0"/>
        </w:rPr>
        <w:t xml:space="preserve"> </w:t>
      </w:r>
      <w:r>
        <w:rPr>
          <w:iCs/>
          <w:i/>
          <w:color w:val="7030A0"/>
        </w:rPr>
        <w:t xml:space="preserve">Oslo manual: Guidelines for collecting and interpreting innovation data</w:t>
      </w:r>
      <w:r>
        <w:rPr>
          <w:color w:val="7030A0"/>
        </w:rPr>
        <w:t xml:space="preserve"> </w:t>
      </w:r>
      <w:r>
        <w:rPr>
          <w:color w:val="7030A0"/>
        </w:rPr>
        <w:t xml:space="preserve">(3rd ed.). OECD Publishing. †</w:t>
      </w:r>
    </w:p>
    <w:p>
      <w:pPr>
        <w:pStyle w:val="BodyText"/>
      </w:pPr>
      <w:r>
        <w:rPr>
          <w:color w:val="7030A0"/>
        </w:rPr>
        <w:t xml:space="preserve">Panayides, P. M., Maxoulis, C. N., Wang, T.-F., &amp; Ng, K. Y. A. (2009). A critical analysis of DEA applications to seaport economic efficiency measurement.</w:t>
      </w:r>
      <w:r>
        <w:rPr>
          <w:color w:val="7030A0"/>
        </w:rPr>
        <w:t xml:space="preserve"> </w:t>
      </w:r>
      <w:r>
        <w:rPr>
          <w:iCs/>
          <w:i/>
          <w:color w:val="7030A0"/>
        </w:rPr>
        <w:t xml:space="preserve">Transport Reviews, 29</w:t>
      </w:r>
      <w:r>
        <w:rPr>
          <w:color w:val="7030A0"/>
        </w:rPr>
        <w:t xml:space="preserve">(2), 183–206. https://doi.org/10.1080/01441640802260354 ‡ (authors’ initials)</w:t>
      </w:r>
    </w:p>
    <w:p>
      <w:pPr>
        <w:pStyle w:val="BodyText"/>
      </w:pPr>
      <w:r>
        <w:rPr>
          <w:color w:val="7030A0"/>
        </w:rPr>
        <w:t xml:space="preserve">Papaconstantinou, G., Sakurai, N., &amp; Wyckoff, A. (1998). Domestic and international product-embodied R&amp;D diffusion.</w:t>
      </w:r>
      <w:r>
        <w:rPr>
          <w:color w:val="7030A0"/>
        </w:rPr>
        <w:t xml:space="preserve"> </w:t>
      </w:r>
      <w:r>
        <w:rPr>
          <w:iCs/>
          <w:i/>
          <w:color w:val="7030A0"/>
        </w:rPr>
        <w:t xml:space="preserve">Research Policy, 27</w:t>
      </w:r>
      <w:r>
        <w:rPr>
          <w:color w:val="7030A0"/>
        </w:rPr>
        <w:t xml:space="preserve">(3), 301–314. ‡ (DOI not confirmed; please add it from ScienceDirect)</w:t>
      </w:r>
    </w:p>
    <w:p>
      <w:pPr>
        <w:pStyle w:val="BodyText"/>
      </w:pPr>
      <w:r>
        <w:rPr>
          <w:color w:val="7030A0"/>
        </w:rPr>
        <w:t xml:space="preserve">Pavitt, K. (1984). Sectoral patterns of technical change: Towards a taxonomy and a theory.</w:t>
      </w:r>
      <w:r>
        <w:rPr>
          <w:color w:val="7030A0"/>
        </w:rPr>
        <w:t xml:space="preserve"> </w:t>
      </w:r>
      <w:r>
        <w:rPr>
          <w:iCs/>
          <w:i/>
          <w:color w:val="7030A0"/>
        </w:rPr>
        <w:t xml:space="preserve">Research Policy, 13</w:t>
      </w:r>
      <w:r>
        <w:rPr>
          <w:color w:val="7030A0"/>
        </w:rPr>
        <w:t xml:space="preserve">(6), 343–373. https://doi.org/10.1016/0048-7333(84)90018-0</w:t>
      </w:r>
    </w:p>
    <w:p>
      <w:pPr>
        <w:pStyle w:val="BodyText"/>
      </w:pPr>
      <w:r>
        <w:rPr>
          <w:color w:val="7030A0"/>
        </w:rPr>
        <w:t xml:space="preserve">Sakellaris, P., &amp; Wilson, D. J. (2004). Quantifying embodied technological change.</w:t>
      </w:r>
      <w:r>
        <w:rPr>
          <w:color w:val="7030A0"/>
        </w:rPr>
        <w:t xml:space="preserve"> </w:t>
      </w:r>
      <w:r>
        <w:rPr>
          <w:iCs/>
          <w:i/>
          <w:color w:val="7030A0"/>
        </w:rPr>
        <w:t xml:space="preserve">Review of Economic Dynamics, 7</w:t>
      </w:r>
      <w:r>
        <w:rPr>
          <w:color w:val="7030A0"/>
        </w:rPr>
        <w:t xml:space="preserve">(1), 1–26. https://doi.org/10.1016/S1094-2025(03)00052-8</w:t>
      </w:r>
    </w:p>
    <w:p>
      <w:pPr>
        <w:pStyle w:val="BodyText"/>
      </w:pPr>
      <w:r>
        <w:rPr>
          <w:color w:val="7030A0"/>
        </w:rPr>
        <w:t xml:space="preserve">Shin, S.-H., Kwon, O. K., Ruan, X., Chhetri, P., Lee, P. T.-W., &amp; Shahparvari, S. (2018). Analyzing sustainability literature in maritime studies with text mining.</w:t>
      </w:r>
      <w:r>
        <w:rPr>
          <w:color w:val="7030A0"/>
        </w:rPr>
        <w:t xml:space="preserve"> </w:t>
      </w:r>
      <w:r>
        <w:rPr>
          <w:iCs/>
          <w:i/>
          <w:color w:val="7030A0"/>
        </w:rPr>
        <w:t xml:space="preserve">Sustainability, 10</w:t>
      </w:r>
      <w:r>
        <w:rPr>
          <w:color w:val="7030A0"/>
        </w:rPr>
        <w:t xml:space="preserve">(10), 3522. https://doi.org/10.3390/su10103522 †</w:t>
      </w:r>
    </w:p>
    <w:p>
      <w:pPr>
        <w:pStyle w:val="BodyText"/>
      </w:pPr>
      <w:r>
        <w:rPr>
          <w:color w:val="7030A0"/>
        </w:rPr>
        <w:t xml:space="preserve">Solow, R. M. (1960). Investment and technical progress. In K. J. Arrow, S. Karlin, &amp; P. Suppes (Eds.),</w:t>
      </w:r>
      <w:r>
        <w:rPr>
          <w:color w:val="7030A0"/>
        </w:rPr>
        <w:t xml:space="preserve"> </w:t>
      </w:r>
      <w:r>
        <w:rPr>
          <w:iCs/>
          <w:i/>
          <w:color w:val="7030A0"/>
        </w:rPr>
        <w:t xml:space="preserve">Mathematical methods in the social sciences, 1959</w:t>
      </w:r>
      <w:r>
        <w:rPr>
          <w:color w:val="7030A0"/>
        </w:rPr>
        <w:t xml:space="preserve"> </w:t>
      </w:r>
      <w:r>
        <w:rPr>
          <w:color w:val="7030A0"/>
        </w:rPr>
        <w:t xml:space="preserve">(pp. 89–104). Stanford University Press.</w:t>
      </w:r>
    </w:p>
    <w:p>
      <w:pPr>
        <w:pStyle w:val="BodyText"/>
      </w:pPr>
      <w:r>
        <w:rPr>
          <w:color w:val="7030A0"/>
        </w:rPr>
        <w:t xml:space="preserve">Verhoest, K., Petersen, O. H., Scherrer, W., &amp; Soecipto, R. M. (2015). How do governments support the development of public private partnerships? Measuring and comparing PPP governmental support in 20 European countries.</w:t>
      </w:r>
      <w:r>
        <w:rPr>
          <w:color w:val="7030A0"/>
        </w:rPr>
        <w:t xml:space="preserve"> </w:t>
      </w:r>
      <w:r>
        <w:rPr>
          <w:iCs/>
          <w:i/>
          <w:color w:val="7030A0"/>
        </w:rPr>
        <w:t xml:space="preserve">Transport Reviews, 35</w:t>
      </w:r>
      <w:r>
        <w:rPr>
          <w:color w:val="7030A0"/>
        </w:rPr>
        <w:t xml:space="preserve">(2), 118–139. ‡ (DOI not confirmed; please add it from Taylor &amp; Francis Online)</w:t>
      </w:r>
    </w:p>
    <w:p>
      <w:pPr>
        <w:pStyle w:val="BodyText"/>
      </w:pPr>
      <w:r>
        <w:rPr>
          <w:color w:val="7030A0"/>
        </w:rPr>
        <w:t xml:space="preserve">Wilmsmeier, G., Tovar, B., &amp; Sanchez, R. J. (2013). The evolution of container terminal productivity and efficiency under changing economic environments.</w:t>
      </w:r>
      <w:r>
        <w:rPr>
          <w:color w:val="7030A0"/>
        </w:rPr>
        <w:t xml:space="preserve"> </w:t>
      </w:r>
      <w:r>
        <w:rPr>
          <w:iCs/>
          <w:i/>
          <w:color w:val="7030A0"/>
        </w:rPr>
        <w:t xml:space="preserve">Research in Transportation Business &amp; Management, 8</w:t>
      </w:r>
      <w:r>
        <w:rPr>
          <w:color w:val="7030A0"/>
        </w:rPr>
        <w:t xml:space="preserve">, 50–66. https://doi.org/10.1016/j.rtbm.2013.07.003 †</w:t>
      </w:r>
    </w:p>
    <w:p>
      <w:pPr>
        <w:pStyle w:val="BodyText"/>
      </w:pPr>
      <w:r>
        <w:rPr>
          <w:color w:val="7030A0"/>
        </w:rPr>
        <w:t xml:space="preserve">Zhang et al. (2015). ‡ (cited in your current Section 2.4 but missing from the reference list; please supply)</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Examiner 4, Section 2.4 research gaps: heterogeneity and embodiment of technology</dc:title>
  <dc:creator/>
  <cp:keywords/>
  <dcterms:created xsi:type="dcterms:W3CDTF">2026-10-10T17:05:22Z</dcterms:created>
  <dcterms:modified xsi:type="dcterms:W3CDTF">2026-10-10T17:05:22Z</dcterms:modified>
</cp:coreProperties>
</file>

<file path=docProps/custom.xml><?xml version="1.0" encoding="utf-8"?>
<Properties xmlns="http://schemas.openxmlformats.org/officeDocument/2006/custom-properties" xmlns:vt="http://schemas.openxmlformats.org/officeDocument/2006/docPropsVTypes"/>
</file>