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4,</w:t>
      </w:r>
      <w:r>
        <w:t xml:space="preserve"> </w:t>
      </w:r>
      <w:r>
        <w:t xml:space="preserve">Chapter</w:t>
      </w:r>
      <w:r>
        <w:t xml:space="preserve"> </w:t>
      </w:r>
      <w:r>
        <w:t xml:space="preserve">4:</w:t>
      </w:r>
      <w:r>
        <w:t xml:space="preserve"> </w:t>
      </w:r>
      <w:r>
        <w:t xml:space="preserve">renaming</w:t>
      </w:r>
      <w:r>
        <w:t xml:space="preserve"> </w:t>
      </w:r>
      <w:r>
        <w:t xml:space="preserve">‘</w:t>
      </w:r>
      <w:r>
        <w:t xml:space="preserve">technology</w:t>
      </w:r>
      <w:r>
        <w:t xml:space="preserve"> </w:t>
      </w:r>
      <w:r>
        <w:t xml:space="preserve">capability</w:t>
      </w:r>
      <w:r>
        <w:t xml:space="preserve">’</w:t>
      </w:r>
      <w:r>
        <w:t xml:space="preserve"> </w:t>
      </w:r>
      <w:r>
        <w:t xml:space="preserve">(TC)</w:t>
      </w:r>
      <w:r>
        <w:t xml:space="preserve"> </w:t>
      </w:r>
      <w:r>
        <w:t xml:space="preserve">as</w:t>
      </w:r>
      <w:r>
        <w:t xml:space="preserve"> </w:t>
      </w:r>
      <w:r>
        <w:t xml:space="preserve">‘</w:t>
      </w:r>
      <w:r>
        <w:t xml:space="preserve">technology</w:t>
      </w:r>
      <w:r>
        <w:t xml:space="preserve"> </w:t>
      </w:r>
      <w:r>
        <w:t xml:space="preserve">development</w:t>
      </w:r>
      <w:r>
        <w:t xml:space="preserve"> </w:t>
      </w:r>
      <w:r>
        <w:t xml:space="preserve">level</w:t>
      </w:r>
      <w:r>
        <w:t xml:space="preserve">’</w:t>
      </w:r>
      <w:r>
        <w:t xml:space="preserve"> </w:t>
      </w:r>
      <w:r>
        <w:t xml:space="preserve">(TDL)</w:t>
      </w:r>
    </w:p>
    <w:p>
      <w:pPr>
        <w:pStyle w:val="BlockText"/>
      </w:pPr>
      <w:r>
        <w:rPr>
          <w:iCs/>
          <w:i/>
          <w:color w:val="606060"/>
        </w:rPr>
        <w:t xml:space="preserve">Examiner’s comment:</w:t>
      </w:r>
      <w:r>
        <w:rPr>
          <w:iCs/>
          <w:i/>
          <w:color w:val="606060"/>
        </w:rPr>
        <w:t xml:space="preserve"> </w:t>
      </w:r>
      <w:r>
        <w:rPr>
          <w:iCs/>
          <w:i/>
          <w:color w:val="606060"/>
        </w:rPr>
        <w:t xml:space="preserve">“</w:t>
      </w:r>
      <w:r>
        <w:rPr>
          <w:iCs/>
          <w:i/>
          <w:color w:val="606060"/>
        </w:rPr>
        <w:t xml:space="preserve">Variable</w:t>
      </w:r>
      <w:r>
        <w:rPr>
          <w:iCs/>
          <w:i/>
          <w:color w:val="606060"/>
        </w:rPr>
        <w:t xml:space="preserve"> </w:t>
      </w:r>
      <w:r>
        <w:rPr>
          <w:iCs/>
          <w:i/>
          <w:color w:val="606060"/>
        </w:rPr>
        <w:t xml:space="preserve">‘</w:t>
      </w:r>
      <w:r>
        <w:rPr>
          <w:iCs/>
          <w:i/>
          <w:color w:val="606060"/>
        </w:rPr>
        <w:t xml:space="preserve">Technology capability of a country (TC)</w:t>
      </w:r>
      <w:r>
        <w:rPr>
          <w:iCs/>
          <w:i/>
          <w:color w:val="606060"/>
        </w:rPr>
        <w:t xml:space="preserve">’</w:t>
      </w:r>
      <w:r>
        <w:rPr>
          <w:iCs/>
          <w:i/>
          <w:color w:val="606060"/>
        </w:rPr>
        <w:t xml:space="preserve"> </w:t>
      </w:r>
      <w:r>
        <w:rPr>
          <w:iCs/>
          <w:i/>
          <w:color w:val="606060"/>
        </w:rPr>
        <w:t xml:space="preserve">is defined on page 89. However, this is not well supported by the literature. It might better be called something like technology advancement, progress or development level.</w:t>
      </w:r>
      <w:r>
        <w:rPr>
          <w:iCs/>
          <w:i/>
          <w:color w:val="606060"/>
        </w:rPr>
        <w:t xml:space="preserve">”</w:t>
      </w:r>
    </w:p>
    <w:p>
      <w:pPr>
        <w:pStyle w:val="BlockText"/>
      </w:pPr>
      <w:r>
        <w:rPr>
          <w:iCs/>
          <w:i/>
          <w:color w:val="606060"/>
        </w:rPr>
        <w:t xml:space="preserve">Decision: the construct is renamed</w:t>
      </w:r>
      <w:r>
        <w:rPr>
          <w:iCs/>
          <w:i/>
          <w:color w:val="606060"/>
        </w:rPr>
        <w:t xml:space="preserve"> </w:t>
      </w:r>
      <w:r>
        <w:rPr>
          <w:bCs/>
          <w:b/>
          <w:iCs/>
          <w:i/>
          <w:color w:val="606060"/>
        </w:rPr>
        <w:t xml:space="preserve">technology development level (TDL)</w:t>
      </w:r>
      <w:r>
        <w:rPr>
          <w:iCs/>
          <w:i/>
          <w:color w:val="606060"/>
        </w:rPr>
        <w:t xml:space="preserve">. The reason is that its three indicators (patents, technology exports and value added) measure the level of technology a country has already achieved, whereas</w:t>
      </w:r>
      <w:r>
        <w:rPr>
          <w:iCs/>
          <w:i/>
          <w:color w:val="606060"/>
        </w:rPr>
        <w:t xml:space="preserve"> </w:t>
      </w:r>
      <w:r>
        <w:rPr>
          <w:iCs/>
          <w:i/>
          <w:color w:val="606060"/>
        </w:rPr>
        <w:t xml:space="preserve">“</w:t>
      </w:r>
      <w:r>
        <w:rPr>
          <w:iCs/>
          <w:i/>
          <w:color w:val="606060"/>
        </w:rPr>
        <w:t xml:space="preserve">technological capability</w:t>
      </w:r>
      <w:r>
        <w:rPr>
          <w:iCs/>
          <w:i/>
          <w:color w:val="606060"/>
        </w:rPr>
        <w:t xml:space="preserve">”</w:t>
      </w:r>
      <w:r>
        <w:rPr>
          <w:iCs/>
          <w:i/>
          <w:color w:val="606060"/>
        </w:rPr>
        <w:t xml:space="preserve"> </w:t>
      </w:r>
      <w:r>
        <w:rPr>
          <w:iCs/>
          <w:i/>
          <w:color w:val="606060"/>
        </w:rPr>
        <w:t xml:space="preserve">in the literature means an ability. The definition and hypotheses are rewritten so that each citation supports what the new text says. Some references are kept but used for what they actually say (for example, as studies of capability rather than of development level), two are replaced because they do not support the claims they were cited for, and new references are added for the definition and measurement. Part E lists every reference change.</w:t>
      </w:r>
    </w:p>
    <w:p>
      <w:pPr>
        <w:pStyle w:val="BlockText"/>
      </w:pPr>
      <w:r>
        <w:rPr>
          <w:iCs/>
          <w:i/>
          <w:color w:val="606060"/>
        </w:rPr>
        <w:t xml:space="preserve">Defaults I have applied (tell me if you want any changed):</w:t>
      </w:r>
    </w:p>
    <w:p>
      <w:pPr>
        <w:pStyle w:val="BlockText"/>
      </w:pPr>
      <w:r>
        <w:rPr>
          <w:iCs/>
          <w:i/>
          <w:color w:val="606060"/>
        </w:rPr>
        <w:t xml:space="preserve">1.</w:t>
      </w:r>
      <w:r>
        <w:rPr>
          <w:iCs/>
          <w:i/>
          <w:color w:val="606060"/>
        </w:rPr>
        <w:t xml:space="preserve"> </w:t>
      </w:r>
      <w:r>
        <w:rPr>
          <w:iCs/>
          <w:i/>
          <w:color w:val="606060"/>
        </w:rPr>
        <w:t xml:space="preserve">“</w:t>
      </w:r>
      <w:r>
        <w:rPr>
          <w:iCs/>
          <w:i/>
          <w:color w:val="606060"/>
        </w:rPr>
        <w:t xml:space="preserve">Transport</w:t>
      </w:r>
      <w:r>
        <w:rPr>
          <w:iCs/>
          <w:i/>
          <w:color w:val="606060"/>
        </w:rPr>
        <w:t xml:space="preserve">”</w:t>
      </w:r>
      <w:r>
        <w:rPr>
          <w:iCs/>
          <w:i/>
          <w:color w:val="606060"/>
        </w:rPr>
        <w:t xml:space="preserve"> </w:t>
      </w:r>
      <w:r>
        <w:rPr>
          <w:iCs/>
          <w:i/>
          <w:color w:val="606060"/>
        </w:rPr>
        <w:t xml:space="preserve">appears in the definition, not in the name.</w:t>
      </w:r>
    </w:p>
    <w:p>
      <w:pPr>
        <w:pStyle w:val="BlockText"/>
      </w:pPr>
      <w:r>
        <w:rPr>
          <w:iCs/>
          <w:i/>
          <w:color w:val="606060"/>
        </w:rPr>
        <w:t xml:space="preserve">2. The port model keeps its construct</w:t>
      </w:r>
      <w:r>
        <w:rPr>
          <w:iCs/>
          <w:i/>
          <w:color w:val="606060"/>
        </w:rPr>
        <w:t xml:space="preserve"> </w:t>
      </w:r>
      <w:r>
        <w:rPr>
          <w:iCs/>
          <w:i/>
          <w:color w:val="606060"/>
        </w:rPr>
        <w:t xml:space="preserve">“</w:t>
      </w:r>
      <w:r>
        <w:rPr>
          <w:iCs/>
          <w:i/>
          <w:color w:val="606060"/>
        </w:rPr>
        <w:t xml:space="preserve">technological innovation capacity</w:t>
      </w:r>
      <w:r>
        <w:rPr>
          <w:iCs/>
          <w:i/>
          <w:color w:val="606060"/>
        </w:rPr>
        <w:t xml:space="preserve">”</w:t>
      </w:r>
      <w:r>
        <w:rPr>
          <w:iCs/>
          <w:i/>
          <w:color w:val="606060"/>
        </w:rPr>
        <w:t xml:space="preserve">, which mixes inputs and outputs, but its abbreviation changes from TC to TIC, so that it no longer shares an abbreviation with the main model.</w:t>
      </w:r>
    </w:p>
    <w:p>
      <w:pPr>
        <w:pStyle w:val="BlockText"/>
      </w:pPr>
      <w:r>
        <w:rPr>
          <w:iCs/>
          <w:i/>
          <w:color w:val="606060"/>
        </w:rPr>
        <w:t xml:space="preserve">3.</w:t>
      </w:r>
      <w:r>
        <w:rPr>
          <w:iCs/>
          <w:i/>
          <w:color w:val="606060"/>
        </w:rPr>
        <w:t xml:space="preserve"> </w:t>
      </w:r>
      <w:r>
        <w:rPr>
          <w:iCs/>
          <w:i/>
          <w:color w:val="606060"/>
        </w:rPr>
        <w:t xml:space="preserve">“</w:t>
      </w:r>
      <w:r>
        <w:rPr>
          <w:iCs/>
          <w:i/>
          <w:color w:val="606060"/>
        </w:rPr>
        <w:t xml:space="preserve">Technological capability</w:t>
      </w:r>
      <w:r>
        <w:rPr>
          <w:iCs/>
          <w:i/>
          <w:color w:val="606060"/>
        </w:rPr>
        <w:t xml:space="preserve">”</w:t>
      </w:r>
      <w:r>
        <w:rPr>
          <w:iCs/>
          <w:i/>
          <w:color w:val="606060"/>
        </w:rPr>
        <w:t xml:space="preserve"> </w:t>
      </w:r>
      <w:r>
        <w:rPr>
          <w:iCs/>
          <w:i/>
          <w:color w:val="606060"/>
        </w:rPr>
        <w:t xml:space="preserve">is kept wherever the thesis means an ability in general (for example, organisations building their capabilities, or the shared mechanism in Section 7.2.1). It is replaced only where the text refers to the Chapter 4 construct or its results.</w:t>
      </w:r>
    </w:p>
    <w:p>
      <w:pPr>
        <w:pStyle w:val="BlockText"/>
      </w:pPr>
      <w:r>
        <w:rPr>
          <w:iCs/>
          <w:i/>
          <w:color w:val="606060"/>
        </w:rPr>
        <w:t xml:space="preserve">4. A sentence notes that the published papers use the old name.</w:t>
      </w:r>
    </w:p>
    <w:p>
      <w:pPr>
        <w:pStyle w:val="BlockText"/>
      </w:pPr>
      <w:r>
        <w:rPr>
          <w:iCs/>
          <w:i/>
          <w:color w:val="606060"/>
        </w:rPr>
        <w:t xml:space="preserve">5. Figures 5, 6 and 7, Tables 9–14, and the indicator codes TC1–TC3 are updated (TDL1–TDL3 in the main model; TIC1–TIC3 in the port model).</w:t>
      </w:r>
    </w:p>
    <w:p>
      <w:pPr>
        <w:pStyle w:val="BlockText"/>
      </w:pPr>
      <w:r>
        <w:rPr>
          <w:iCs/>
          <w:i/>
          <w:color w:val="606060"/>
        </w:rPr>
        <w:t xml:space="preserve">Based on the old amended thesis; please check the locations against your 10 Oct version. Notes to you are in grey italic boxes. Everything else is proposed thesis text, to be marked purple.</w:t>
      </w:r>
    </w:p>
    <w:bookmarkStart w:id="20" w:name="a.-section-2.1.1-definitions-paragraph"/>
    <w:p>
      <w:pPr>
        <w:pStyle w:val="Heading1"/>
      </w:pPr>
      <w:r>
        <w:t xml:space="preserve">A. SECTION 2.1.1: DEFINITIONS PARAGRAPH</w:t>
      </w:r>
    </w:p>
    <w:p>
      <w:pPr>
        <w:pStyle w:val="BlockText"/>
      </w:pPr>
      <w:r>
        <w:rPr>
          <w:iCs/>
          <w:i/>
          <w:color w:val="606060"/>
        </w:rPr>
        <w:t xml:space="preserve">In the paragraph that clarifies the thesis’s concepts, replace the two sentences beginning</w:t>
      </w:r>
      <w:r>
        <w:rPr>
          <w:iCs/>
          <w:i/>
          <w:color w:val="606060"/>
        </w:rPr>
        <w:t xml:space="preserve"> </w:t>
      </w:r>
      <w:r>
        <w:rPr>
          <w:iCs/>
          <w:i/>
          <w:color w:val="606060"/>
        </w:rPr>
        <w:t xml:space="preserve">“</w:t>
      </w:r>
      <w:r>
        <w:rPr>
          <w:iCs/>
          <w:i/>
          <w:color w:val="606060"/>
        </w:rPr>
        <w:t xml:space="preserve">Similarly, technology capability refers to the ability of an economy or system…</w:t>
      </w:r>
      <w:r>
        <w:rPr>
          <w:iCs/>
          <w:i/>
          <w:color w:val="606060"/>
        </w:rPr>
        <w:t xml:space="preserve">”</w:t>
      </w:r>
      <w:r>
        <w:rPr>
          <w:iCs/>
          <w:i/>
          <w:color w:val="606060"/>
        </w:rPr>
        <w:t xml:space="preserve"> </w:t>
      </w:r>
      <w:r>
        <w:rPr>
          <w:iCs/>
          <w:i/>
          <w:color w:val="606060"/>
        </w:rPr>
        <w:t xml:space="preserve">with the text below.</w:t>
      </w:r>
    </w:p>
    <w:p>
      <w:pPr>
        <w:pStyle w:val="FirstParagraph"/>
      </w:pPr>
      <w:r>
        <w:rPr>
          <w:color w:val="7030A0"/>
        </w:rPr>
        <w:t xml:space="preserve">The thesis also distinguishes technological capability from technology development level. Technological capability is an ability: the ability of an organisation or an economy to create, absorb, adapt and apply technological knowledge, which is built up over time in firms and national economies (Lall, 1992; Yeon et al., 2021). Technology development level is the level of technological development that a country has already achieved, as shown by observable outcomes such as patents, technology exports and value added in technology-intensive industries (Archibugi &amp; Coco, 2005; Desai et al., 2002). The first is a capacity; the second is the result of that capacity. Chapter 4 uses the second concept as a national-level construct, measured in transport-related fields, and examines how it is associated with innovation input, government incentives and participation in technology projects.</w:t>
      </w:r>
    </w:p>
    <w:bookmarkEnd w:id="20"/>
    <w:bookmarkStart w:id="26" w:name="b.-chapter-4-revised-text"/>
    <w:p>
      <w:pPr>
        <w:pStyle w:val="Heading1"/>
      </w:pPr>
      <w:r>
        <w:t xml:space="preserve">B. CHAPTER 4: REVISED TEXT</w:t>
      </w:r>
    </w:p>
    <w:bookmarkStart w:id="21" w:name="X46a057e95f7bbcf2b4d53c6fd7543be9270ddeb"/>
    <w:p>
      <w:pPr>
        <w:pStyle w:val="Heading2"/>
      </w:pPr>
      <w:r>
        <w:t xml:space="preserve">B1. Chapter introduction and Section 4.1 Background</w:t>
      </w:r>
    </w:p>
    <w:p>
      <w:pPr>
        <w:pStyle w:val="BlockText"/>
      </w:pPr>
      <w:r>
        <w:rPr>
          <w:iCs/>
          <w:i/>
          <w:color w:val="606060"/>
        </w:rPr>
        <w:t xml:space="preserve">Chapter introduction: in the sentence</w:t>
      </w:r>
      <w:r>
        <w:rPr>
          <w:iCs/>
          <w:i/>
          <w:color w:val="606060"/>
        </w:rPr>
        <w:t xml:space="preserve"> </w:t>
      </w:r>
      <w:r>
        <w:rPr>
          <w:iCs/>
          <w:i/>
          <w:color w:val="606060"/>
        </w:rPr>
        <w:t xml:space="preserve">“</w:t>
      </w:r>
      <w:r>
        <w:rPr>
          <w:iCs/>
          <w:i/>
          <w:color w:val="606060"/>
        </w:rPr>
        <w:t xml:space="preserve">The analysis examines how government incentives, innovation inputs, and technology capability influence stakeholders’ level of participation…</w:t>
      </w:r>
      <w:r>
        <w:rPr>
          <w:iCs/>
          <w:i/>
          <w:color w:val="606060"/>
        </w:rPr>
        <w:t xml:space="preserve">”</w:t>
      </w:r>
      <w:r>
        <w:rPr>
          <w:iCs/>
          <w:i/>
          <w:color w:val="606060"/>
        </w:rPr>
        <w:t xml:space="preserve">, replace with:</w:t>
      </w:r>
    </w:p>
    <w:p>
      <w:pPr>
        <w:pStyle w:val="FirstParagraph"/>
      </w:pPr>
      <w:r>
        <w:rPr>
          <w:color w:val="7030A0"/>
        </w:rPr>
        <w:t xml:space="preserve">The analysis examines how government incentives, innovation inputs and the technology development level of a country are associated with stakeholders’ level of participation in technology development initiatives.</w:t>
      </w:r>
    </w:p>
    <w:p>
      <w:pPr>
        <w:pStyle w:val="BlockText"/>
      </w:pPr>
      <w:r>
        <w:rPr>
          <w:iCs/>
          <w:i/>
          <w:color w:val="606060"/>
        </w:rPr>
        <w:t xml:space="preserve">Section 4.1, second paragraph: replace the three sentences beginning</w:t>
      </w:r>
      <w:r>
        <w:rPr>
          <w:iCs/>
          <w:i/>
          <w:color w:val="606060"/>
        </w:rPr>
        <w:t xml:space="preserve"> </w:t>
      </w:r>
      <w:r>
        <w:rPr>
          <w:iCs/>
          <w:i/>
          <w:color w:val="606060"/>
        </w:rPr>
        <w:t xml:space="preserve">“</w:t>
      </w:r>
      <w:r>
        <w:rPr>
          <w:iCs/>
          <w:i/>
          <w:color w:val="606060"/>
        </w:rPr>
        <w:t xml:space="preserve">Institutional support, innovation inputs, and policy incentives are often highlighted…</w:t>
      </w:r>
      <w:r>
        <w:rPr>
          <w:iCs/>
          <w:i/>
          <w:color w:val="606060"/>
        </w:rPr>
        <w:t xml:space="preserve">”</w:t>
      </w:r>
      <w:r>
        <w:rPr>
          <w:iCs/>
          <w:i/>
          <w:color w:val="606060"/>
        </w:rPr>
        <w:t xml:space="preserve"> </w:t>
      </w:r>
      <w:r>
        <w:rPr>
          <w:iCs/>
          <w:i/>
          <w:color w:val="606060"/>
        </w:rPr>
        <w:t xml:space="preserve">with:</w:t>
      </w:r>
    </w:p>
    <w:p>
      <w:pPr>
        <w:pStyle w:val="FirstParagraph"/>
      </w:pPr>
      <w:r>
        <w:rPr>
          <w:color w:val="7030A0"/>
        </w:rPr>
        <w:t xml:space="preserve">Institutional support, innovation inputs and policy incentives are often highlighted as critical drivers, yet their effects depend on how far a country’s technology has already developed, and therefore on the capabilities of the organisations located there. The ability to recognise, assimilate and apply new knowledge is a foundation for innovation and learning (Cohen &amp; Levinthal, 1990), and a country’s technology development level reflects what such capabilities have achieved. The technology development level can therefore play a mediating role in linking external support to actual participation outcomes.</w:t>
      </w:r>
    </w:p>
    <w:p>
      <w:pPr>
        <w:pStyle w:val="BlockText"/>
      </w:pPr>
      <w:r>
        <w:rPr>
          <w:iCs/>
          <w:i/>
          <w:color w:val="606060"/>
        </w:rPr>
        <w:t xml:space="preserve">Section 4.1, last paragraph:</w:t>
      </w:r>
      <w:r>
        <w:rPr>
          <w:iCs/>
          <w:i/>
          <w:color w:val="606060"/>
        </w:rPr>
        <w:t xml:space="preserve"> </w:t>
      </w:r>
      <w:r>
        <w:rPr>
          <w:iCs/>
          <w:i/>
          <w:color w:val="606060"/>
        </w:rPr>
        <w:t xml:space="preserve">“</w:t>
      </w:r>
      <w:r>
        <w:rPr>
          <w:iCs/>
          <w:i/>
          <w:color w:val="606060"/>
        </w:rPr>
        <w:t xml:space="preserve">Special attention is given to the mediating role of technological capability…</w:t>
      </w:r>
      <w:r>
        <w:rPr>
          <w:iCs/>
          <w:i/>
          <w:color w:val="606060"/>
        </w:rPr>
        <w:t xml:space="preserve">”</w:t>
      </w:r>
      <w:r>
        <w:rPr>
          <w:iCs/>
          <w:i/>
          <w:color w:val="606060"/>
        </w:rPr>
        <w:t xml:space="preserve"> </w:t>
      </w:r>
      <w:r>
        <w:rPr>
          <w:iCs/>
          <w:i/>
          <w:color w:val="606060"/>
        </w:rPr>
        <w:t xml:space="preserve">becomes:</w:t>
      </w:r>
    </w:p>
    <w:p>
      <w:pPr>
        <w:pStyle w:val="FirstParagraph"/>
      </w:pPr>
      <w:r>
        <w:rPr>
          <w:color w:val="7030A0"/>
        </w:rPr>
        <w:t xml:space="preserve">Special attention is given to the mediating role of the technology development level in linking institutional and innovation-related drivers to participation outcomes.</w:t>
      </w:r>
    </w:p>
    <w:bookmarkEnd w:id="21"/>
    <w:bookmarkStart w:id="22" w:name="X2b85b903685f2325e8e7c0ec6a30be9213f3270"/>
    <w:p>
      <w:pPr>
        <w:pStyle w:val="Heading2"/>
      </w:pPr>
      <w:r>
        <w:t xml:space="preserve">B2. Section 4.3.1: the construct and its indicators</w:t>
      </w:r>
    </w:p>
    <w:p>
      <w:pPr>
        <w:pStyle w:val="BlockText"/>
      </w:pPr>
      <w:r>
        <w:rPr>
          <w:iCs/>
          <w:i/>
          <w:color w:val="606060"/>
        </w:rPr>
        <w:t xml:space="preserve">(a) In the participation paragraphs, two small edits.</w:t>
      </w:r>
      <w:r>
        <w:rPr>
          <w:iCs/>
          <w:i/>
          <w:color w:val="606060"/>
        </w:rPr>
        <w:t xml:space="preserve"> </w:t>
      </w:r>
      <w:r>
        <w:rPr>
          <w:iCs/>
          <w:i/>
          <w:color w:val="606060"/>
        </w:rPr>
        <w:t xml:space="preserve">“</w:t>
      </w:r>
      <w:r>
        <w:rPr>
          <w:iCs/>
          <w:i/>
          <w:color w:val="606060"/>
        </w:rPr>
        <w:t xml:space="preserve">Within our SEM framework, total project cost serves as a dependent observed variable influenced by national-level innovation and technology-related capabilities.</w:t>
      </w:r>
      <w:r>
        <w:rPr>
          <w:iCs/>
          <w:i/>
          <w:color w:val="606060"/>
        </w:rPr>
        <w:t xml:space="preserve">”</w:t>
      </w:r>
      <w:r>
        <w:rPr>
          <w:iCs/>
          <w:i/>
          <w:color w:val="606060"/>
        </w:rPr>
        <w:t xml:space="preserve"> </w:t>
      </w:r>
      <w:r>
        <w:rPr>
          <w:iCs/>
          <w:i/>
          <w:color w:val="606060"/>
        </w:rPr>
        <w:t xml:space="preserve">Change</w:t>
      </w:r>
      <w:r>
        <w:rPr>
          <w:iCs/>
          <w:i/>
          <w:color w:val="606060"/>
        </w:rPr>
        <w:t xml:space="preserve"> </w:t>
      </w:r>
      <w:r>
        <w:rPr>
          <w:iCs/>
          <w:i/>
          <w:color w:val="606060"/>
        </w:rPr>
        <w:t xml:space="preserve">“</w:t>
      </w:r>
      <w:r>
        <w:rPr>
          <w:iCs/>
          <w:i/>
          <w:color w:val="606060"/>
        </w:rPr>
        <w:t xml:space="preserve">capabilities</w:t>
      </w:r>
      <w:r>
        <w:rPr>
          <w:iCs/>
          <w:i/>
          <w:color w:val="606060"/>
        </w:rPr>
        <w:t xml:space="preserve">”</w:t>
      </w:r>
      <w:r>
        <w:rPr>
          <w:iCs/>
          <w:i/>
          <w:color w:val="606060"/>
        </w:rPr>
        <w:t xml:space="preserve"> </w:t>
      </w:r>
      <w:r>
        <w:rPr>
          <w:iCs/>
          <w:i/>
          <w:color w:val="606060"/>
        </w:rPr>
        <w:t xml:space="preserve">to</w:t>
      </w:r>
      <w:r>
        <w:rPr>
          <w:iCs/>
          <w:i/>
          <w:color w:val="606060"/>
        </w:rPr>
        <w:t xml:space="preserve"> </w:t>
      </w:r>
      <w:r>
        <w:rPr>
          <w:iCs/>
          <w:i/>
          <w:color w:val="606060"/>
        </w:rPr>
        <w:t xml:space="preserve">“</w:t>
      </w:r>
      <w:r>
        <w:rPr>
          <w:iCs/>
          <w:i/>
          <w:color w:val="606060"/>
        </w:rPr>
        <w:t xml:space="preserve">conditions</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The presence of robust national innovation systems, adequate governmental incentives, and strong technology capability is hypothesised…</w:t>
      </w:r>
      <w:r>
        <w:rPr>
          <w:iCs/>
          <w:i/>
          <w:color w:val="606060"/>
        </w:rPr>
        <w:t xml:space="preserve">”</w:t>
      </w:r>
      <w:r>
        <w:rPr>
          <w:iCs/>
          <w:i/>
          <w:color w:val="606060"/>
        </w:rPr>
        <w:t xml:space="preserve"> </w:t>
      </w:r>
      <w:r>
        <w:rPr>
          <w:iCs/>
          <w:i/>
          <w:color w:val="606060"/>
        </w:rPr>
        <w:t xml:space="preserve">Change to</w:t>
      </w:r>
      <w:r>
        <w:rPr>
          <w:iCs/>
          <w:i/>
          <w:color w:val="606060"/>
        </w:rPr>
        <w:t xml:space="preserve"> </w:t>
      </w:r>
      <w:r>
        <w:rPr>
          <w:iCs/>
          <w:i/>
          <w:color w:val="606060"/>
        </w:rPr>
        <w:t xml:space="preserve">“</w:t>
      </w:r>
      <w:r>
        <w:rPr>
          <w:iCs/>
          <w:i/>
          <w:color w:val="606060"/>
        </w:rPr>
        <w:t xml:space="preserve">…and a high technology development level is hypothesised…</w:t>
      </w:r>
      <w:r>
        <w:rPr>
          <w:iCs/>
          <w:i/>
          <w:color w:val="606060"/>
        </w:rPr>
        <w:t xml:space="preserve">”</w:t>
      </w:r>
      <w:r>
        <w:rPr>
          <w:iCs/>
          <w:i/>
          <w:color w:val="606060"/>
        </w:rPr>
        <w:t xml:space="preserve">.</w:t>
      </w:r>
    </w:p>
    <w:p>
      <w:pPr>
        <w:pStyle w:val="BlockText"/>
      </w:pPr>
      <w:r>
        <w:rPr>
          <w:iCs/>
          <w:i/>
          <w:color w:val="606060"/>
        </w:rPr>
        <w:t xml:space="preserve">(b) Replace the sub-heading</w:t>
      </w:r>
      <w:r>
        <w:rPr>
          <w:iCs/>
          <w:i/>
          <w:color w:val="606060"/>
        </w:rPr>
        <w:t xml:space="preserve"> </w:t>
      </w:r>
      <w:r>
        <w:rPr>
          <w:iCs/>
          <w:i/>
          <w:color w:val="606060"/>
        </w:rPr>
        <w:t xml:space="preserve">“</w:t>
      </w:r>
      <w:r>
        <w:rPr>
          <w:iCs/>
          <w:i/>
          <w:color w:val="606060"/>
        </w:rPr>
        <w:t xml:space="preserve">Technology capability of a country</w:t>
      </w:r>
      <w:r>
        <w:rPr>
          <w:iCs/>
          <w:i/>
          <w:color w:val="606060"/>
        </w:rPr>
        <w:t xml:space="preserve">”</w:t>
      </w:r>
      <w:r>
        <w:rPr>
          <w:iCs/>
          <w:i/>
          <w:color w:val="606060"/>
        </w:rPr>
        <w:t xml:space="preserve"> </w:t>
      </w:r>
      <w:r>
        <w:rPr>
          <w:iCs/>
          <w:i/>
          <w:color w:val="606060"/>
        </w:rPr>
        <w:t xml:space="preserve">and the paragraph under it (</w:t>
      </w:r>
      <w:r>
        <w:rPr>
          <w:iCs/>
          <w:i/>
          <w:color w:val="606060"/>
        </w:rPr>
        <w:t xml:space="preserve">“</w:t>
      </w:r>
      <w:r>
        <w:rPr>
          <w:iCs/>
          <w:i/>
          <w:color w:val="606060"/>
        </w:rPr>
        <w:t xml:space="preserve">The technology capability could exist at the firm level…</w:t>
      </w:r>
      <w:r>
        <w:rPr>
          <w:iCs/>
          <w:i/>
          <w:color w:val="606060"/>
        </w:rPr>
        <w:t xml:space="preserve">”</w:t>
      </w:r>
      <w:r>
        <w:rPr>
          <w:iCs/>
          <w:i/>
          <w:color w:val="606060"/>
        </w:rPr>
        <w:t xml:space="preserve">), together with the first paragraph of the following text up to</w:t>
      </w:r>
      <w:r>
        <w:rPr>
          <w:iCs/>
          <w:i/>
          <w:color w:val="606060"/>
        </w:rPr>
        <w:t xml:space="preserve"> </w:t>
      </w:r>
      <w:r>
        <w:rPr>
          <w:iCs/>
          <w:i/>
          <w:color w:val="606060"/>
        </w:rPr>
        <w:t xml:space="preserve">“</w:t>
      </w:r>
      <w:r>
        <w:rPr>
          <w:iCs/>
          <w:i/>
          <w:color w:val="606060"/>
        </w:rPr>
        <w:t xml:space="preserve">…neglect broader systemic national factors (Schoenecker &amp; Swanson, 2002; Wanzenböck et al., 2013; Yeon et al., 2021).</w:t>
      </w:r>
      <w:r>
        <w:rPr>
          <w:iCs/>
          <w:i/>
          <w:color w:val="606060"/>
        </w:rPr>
        <w:t xml:space="preserve">”</w:t>
      </w:r>
      <w:r>
        <w:rPr>
          <w:iCs/>
          <w:i/>
          <w:color w:val="606060"/>
        </w:rPr>
        <w:t xml:space="preserve">, with the sub-heading and two paragraphs below.</w:t>
      </w:r>
    </w:p>
    <w:p>
      <w:pPr>
        <w:pStyle w:val="FirstParagraph"/>
      </w:pPr>
      <w:r>
        <w:rPr>
          <w:bCs/>
          <w:b/>
          <w:color w:val="7030A0"/>
        </w:rPr>
        <w:t xml:space="preserve">Technology development level of a country</w:t>
      </w:r>
    </w:p>
    <w:p>
      <w:pPr>
        <w:pStyle w:val="BodyText"/>
      </w:pPr>
      <w:r>
        <w:rPr>
          <w:color w:val="7030A0"/>
        </w:rPr>
        <w:t xml:space="preserve">Technology development level refers to the level of technological development that a country has achieved in a given field. It is related to, but distinct from, technological capability. Technological capability is an ability. Lall (1992) analysed how such capabilities are built up in firms and national economies, and Yeon et al. (2021) distinguish a</w:t>
      </w:r>
      <w:r>
        <w:rPr>
          <w:color w:val="7030A0"/>
        </w:rPr>
        <w:t xml:space="preserve"> </w:t>
      </w:r>
      <w:r>
        <w:rPr>
          <w:color w:val="7030A0"/>
        </w:rPr>
        <w:t xml:space="preserve">“</w:t>
      </w:r>
      <w:r>
        <w:rPr>
          <w:color w:val="7030A0"/>
        </w:rPr>
        <w:t xml:space="preserve">concept design capability</w:t>
      </w:r>
      <w:r>
        <w:rPr>
          <w:color w:val="7030A0"/>
        </w:rPr>
        <w:t xml:space="preserve">”</w:t>
      </w:r>
      <w:r>
        <w:rPr>
          <w:color w:val="7030A0"/>
        </w:rPr>
        <w:t xml:space="preserve">, the ability to create new blueprints, models or standards, from an</w:t>
      </w:r>
      <w:r>
        <w:rPr>
          <w:color w:val="7030A0"/>
        </w:rPr>
        <w:t xml:space="preserve"> </w:t>
      </w:r>
      <w:r>
        <w:rPr>
          <w:color w:val="7030A0"/>
        </w:rPr>
        <w:t xml:space="preserve">“</w:t>
      </w:r>
      <w:r>
        <w:rPr>
          <w:color w:val="7030A0"/>
        </w:rPr>
        <w:t xml:space="preserve">implementation capability</w:t>
      </w:r>
      <w:r>
        <w:rPr>
          <w:color w:val="7030A0"/>
        </w:rPr>
        <w:t xml:space="preserve">”</w:t>
      </w:r>
      <w:r>
        <w:rPr>
          <w:color w:val="7030A0"/>
        </w:rPr>
        <w:t xml:space="preserve">, the ability to realise designs and improve manufacturing efficiency. Abilities of this kind are difficult to observe directly at the national level. Studies that compare countries therefore rely on observable indicators, such as patents, scientific output, technology exports and the diffusion of technologies, which are often combined into composite indices (Archibugi &amp; Coco, 2005; Archibugi et al., 2009). The Technology Achievement Index, for example, assesses a country’s technological achievements in terms of the creation and diffusion of new technologies, the diffusion of older technologies and the development of human skills (Desai et al., 2002). Such indicators show the level of development that a country has reached rather than the abilities that produced it.</w:t>
      </w:r>
    </w:p>
    <w:p>
      <w:pPr>
        <w:pStyle w:val="BodyText"/>
      </w:pPr>
      <w:r>
        <w:rPr>
          <w:color w:val="7030A0"/>
        </w:rPr>
        <w:t xml:space="preserve">Following this measurement approach, this chapter defines the technology development level of a country as the level of technological development that the country has achieved in transport-related fields, as reflected in its technology outputs. Because the construct is measured by outputs, it captures the realised result of national technological capabilities rather than the capabilities themselves, and the resources that feed the innovation process are measured separately as national innovation input. The construct is defined at the country level because the participation indicators are also aggregated at that level: the project data measure the total involvement of organisations located in each sample country. Previous studies have shown that firm-level technological capabilities and firm characteristics matter for innovation and for the effects of public R&amp;D support (Schoenecker &amp; Swanson, 2002; Wanzenböck et al., 2013), but analyses at the micro level can neglect broader national factors. In the published versions of this chapter (Li &amp; Lam, 2022, 2025), the construct is referred to as technology capability or technological capability. It is renamed in this thesis to reflect more precisely that it is measured by technology outputs.</w:t>
      </w:r>
    </w:p>
    <w:p>
      <w:pPr>
        <w:pStyle w:val="BlockText"/>
      </w:pPr>
      <w:r>
        <w:rPr>
          <w:iCs/>
          <w:i/>
          <w:color w:val="606060"/>
        </w:rPr>
        <w:t xml:space="preserve">(c) Keep the next paragraph (</w:t>
      </w:r>
      <w:r>
        <w:rPr>
          <w:iCs/>
          <w:i/>
          <w:color w:val="606060"/>
        </w:rPr>
        <w:t xml:space="preserve">“</w:t>
      </w:r>
      <w:r>
        <w:rPr>
          <w:iCs/>
          <w:i/>
          <w:color w:val="606060"/>
        </w:rPr>
        <w:t xml:space="preserve">Transport infrastructure technology projects often involve organisations from different sectors…</w:t>
      </w:r>
      <w:r>
        <w:rPr>
          <w:iCs/>
          <w:i/>
          <w:color w:val="606060"/>
        </w:rPr>
        <w:t xml:space="preserve">”</w:t>
      </w:r>
      <w:r>
        <w:rPr>
          <w:iCs/>
          <w:i/>
          <w:color w:val="606060"/>
        </w:rPr>
        <w:t xml:space="preserve">), but change</w:t>
      </w:r>
      <w:r>
        <w:rPr>
          <w:iCs/>
          <w:i/>
          <w:color w:val="606060"/>
        </w:rPr>
        <w:t xml:space="preserve"> </w:t>
      </w:r>
      <w:r>
        <w:rPr>
          <w:iCs/>
          <w:i/>
          <w:color w:val="606060"/>
        </w:rPr>
        <w:t xml:space="preserve">“</w:t>
      </w:r>
      <w:r>
        <w:rPr>
          <w:iCs/>
          <w:i/>
          <w:color w:val="606060"/>
        </w:rPr>
        <w:t xml:space="preserve">national technology capability</w:t>
      </w:r>
      <w:r>
        <w:rPr>
          <w:iCs/>
          <w:i/>
          <w:color w:val="606060"/>
        </w:rPr>
        <w:t xml:space="preserve">”</w:t>
      </w:r>
      <w:r>
        <w:rPr>
          <w:iCs/>
          <w:i/>
          <w:color w:val="606060"/>
        </w:rPr>
        <w:t xml:space="preserve"> </w:t>
      </w:r>
      <w:r>
        <w:rPr>
          <w:iCs/>
          <w:i/>
          <w:color w:val="606060"/>
        </w:rPr>
        <w:t xml:space="preserve">to</w:t>
      </w:r>
      <w:r>
        <w:rPr>
          <w:iCs/>
          <w:i/>
          <w:color w:val="606060"/>
        </w:rPr>
        <w:t xml:space="preserve"> </w:t>
      </w:r>
      <w:r>
        <w:rPr>
          <w:iCs/>
          <w:i/>
          <w:color w:val="606060"/>
        </w:rPr>
        <w:t xml:space="preserve">“</w:t>
      </w:r>
      <w:r>
        <w:rPr>
          <w:iCs/>
          <w:i/>
          <w:color w:val="606060"/>
        </w:rPr>
        <w:t xml:space="preserve">the national technology development level</w:t>
      </w:r>
      <w:r>
        <w:rPr>
          <w:iCs/>
          <w:i/>
          <w:color w:val="606060"/>
        </w:rPr>
        <w:t xml:space="preserve">”</w:t>
      </w:r>
      <w:r>
        <w:rPr>
          <w:iCs/>
          <w:i/>
          <w:color w:val="606060"/>
        </w:rPr>
        <w:t xml:space="preserve">. Then replace the indicator list and the two paragraphs explaining the indicators (</w:t>
      </w:r>
      <w:r>
        <w:rPr>
          <w:iCs/>
          <w:i/>
          <w:color w:val="606060"/>
        </w:rPr>
        <w:t xml:space="preserve">“</w:t>
      </w:r>
      <w:r>
        <w:rPr>
          <w:iCs/>
          <w:i/>
          <w:color w:val="606060"/>
        </w:rPr>
        <w:t xml:space="preserve">In this chapter, technology capability is reflected by…</w:t>
      </w:r>
      <w:r>
        <w:rPr>
          <w:iCs/>
          <w:i/>
          <w:color w:val="606060"/>
        </w:rPr>
        <w:t xml:space="preserve">”</w:t>
      </w:r>
      <w:r>
        <w:rPr>
          <w:iCs/>
          <w:i/>
          <w:color w:val="606060"/>
        </w:rPr>
        <w:t xml:space="preserve"> </w:t>
      </w:r>
      <w:r>
        <w:rPr>
          <w:iCs/>
          <w:i/>
          <w:color w:val="606060"/>
        </w:rPr>
        <w:t xml:space="preserve">through</w:t>
      </w:r>
      <w:r>
        <w:rPr>
          <w:iCs/>
          <w:i/>
          <w:color w:val="606060"/>
        </w:rPr>
        <w:t xml:space="preserve"> </w:t>
      </w:r>
      <w:r>
        <w:rPr>
          <w:iCs/>
          <w:i/>
          <w:color w:val="606060"/>
        </w:rPr>
        <w:t xml:space="preserve">“</w:t>
      </w:r>
      <w:r>
        <w:rPr>
          <w:iCs/>
          <w:i/>
          <w:color w:val="606060"/>
        </w:rPr>
        <w:t xml:space="preserve">…used as a proxy to reflect higher technology capability.</w:t>
      </w:r>
      <w:r>
        <w:rPr>
          <w:iCs/>
          <w:i/>
          <w:color w:val="606060"/>
        </w:rPr>
        <w:t xml:space="preserve">”</w:t>
      </w:r>
      <w:r>
        <w:rPr>
          <w:iCs/>
          <w:i/>
          <w:color w:val="606060"/>
        </w:rPr>
        <w:t xml:space="preserve">) with the following.</w:t>
      </w:r>
    </w:p>
    <w:p>
      <w:pPr>
        <w:pStyle w:val="FirstParagraph"/>
      </w:pPr>
      <w:r>
        <w:rPr>
          <w:color w:val="7030A0"/>
        </w:rPr>
        <w:t xml:space="preserve">In this chapter, the technology development level is reflected by three output indicators: 1) the number of patents in triadic patent families in the civil engineering and transport technology domains; 2) medium- and high-technology exports in the transport sector; and 3) value added in the manufacture of transport equipment and in transport and storage.</w:t>
      </w:r>
    </w:p>
    <w:p>
      <w:pPr>
        <w:pStyle w:val="BodyText"/>
      </w:pPr>
      <w:r>
        <w:rPr>
          <w:color w:val="7030A0"/>
        </w:rPr>
        <w:t xml:space="preserve">The number of patents reflects the creation of new technology. Patent counts are a standard output measure in comparative studies of national innovation; Furman et al. (2002), for example, use international patenting as the output of a country’s national innovative capacity. Medium- and high-technology exports reflect a country’s ability to produce technologically advanced goods that compete in international markets. At the firm level, export behaviour has been found to depend on innovation outputs rather than on innovation inputs (Tavassoli, 2018), which supports the use of exports as an output-side indicator. Value added in the manufacture of transport equipment and in transport and storage reflects the productive outcome of technology in these industries. Manufacturing value added, and the share of medium- and high-technology activities in it, are among the indicators that UNIDO uses to measure countries’ industrial capacity and technological upgrading in its Competitive Industrial Performance Index (UNIDO, n.d.).</w:t>
      </w:r>
    </w:p>
    <w:p>
      <w:pPr>
        <w:pStyle w:val="BlockText"/>
      </w:pPr>
      <w:r>
        <w:rPr>
          <w:iCs/>
          <w:i/>
          <w:color w:val="606060"/>
        </w:rPr>
        <w:t xml:space="preserve">This removes Moro (2012). Its abstract concerns how the intensity of intermediate-goods use affects aggregate total factor productivity, and it does not support the claim that</w:t>
      </w:r>
      <w:r>
        <w:rPr>
          <w:iCs/>
          <w:i/>
          <w:color w:val="606060"/>
        </w:rPr>
        <w:t xml:space="preserve"> </w:t>
      </w:r>
      <w:r>
        <w:rPr>
          <w:iCs/>
          <w:i/>
          <w:color w:val="606060"/>
        </w:rPr>
        <w:t xml:space="preserve">“</w:t>
      </w:r>
      <w:r>
        <w:rPr>
          <w:iCs/>
          <w:i/>
          <w:color w:val="606060"/>
        </w:rPr>
        <w:t xml:space="preserve">when the economy produces more value added, the total factor productivity … increase</w:t>
      </w:r>
      <w:r>
        <w:rPr>
          <w:iCs/>
          <w:i/>
          <w:color w:val="606060"/>
        </w:rPr>
        <w:t xml:space="preserve">”</w:t>
      </w:r>
      <w:r>
        <w:rPr>
          <w:iCs/>
          <w:i/>
          <w:color w:val="606060"/>
        </w:rPr>
        <w:t xml:space="preserve">. UNIDO (n.d.) replaces it. The sentence</w:t>
      </w:r>
      <w:r>
        <w:rPr>
          <w:iCs/>
          <w:i/>
          <w:color w:val="606060"/>
        </w:rPr>
        <w:t xml:space="preserve"> </w:t>
      </w:r>
      <w:r>
        <w:rPr>
          <w:iCs/>
          <w:i/>
          <w:color w:val="606060"/>
        </w:rPr>
        <w:t xml:space="preserve">“</w:t>
      </w:r>
      <w:r>
        <w:rPr>
          <w:iCs/>
          <w:i/>
          <w:color w:val="606060"/>
        </w:rPr>
        <w:t xml:space="preserve">According to the OECD, it is a relatively reliable source to reflect the technology level</w:t>
      </w:r>
      <w:r>
        <w:rPr>
          <w:iCs/>
          <w:i/>
          <w:color w:val="606060"/>
        </w:rPr>
        <w:t xml:space="preserve">”</w:t>
      </w:r>
      <w:r>
        <w:rPr>
          <w:iCs/>
          <w:i/>
          <w:color w:val="606060"/>
        </w:rPr>
        <w:t xml:space="preserve"> </w:t>
      </w:r>
      <w:r>
        <w:rPr>
          <w:iCs/>
          <w:i/>
          <w:color w:val="606060"/>
        </w:rPr>
        <w:t xml:space="preserve">had no citation and is replaced by the Furman et al. (2002) sentence.</w:t>
      </w:r>
    </w:p>
    <w:p>
      <w:pPr>
        <w:pStyle w:val="BlockText"/>
      </w:pPr>
      <w:r>
        <w:rPr>
          <w:iCs/>
          <w:i/>
          <w:color w:val="606060"/>
        </w:rPr>
        <w:t xml:space="preserve">(d) Section 4.3.1,</w:t>
      </w:r>
      <w:r>
        <w:rPr>
          <w:iCs/>
          <w:i/>
          <w:color w:val="606060"/>
        </w:rPr>
        <w:t xml:space="preserve"> </w:t>
      </w:r>
      <w:r>
        <w:rPr>
          <w:iCs/>
          <w:i/>
          <w:color w:val="606060"/>
        </w:rPr>
        <w:t xml:space="preserve">“</w:t>
      </w:r>
      <w:r>
        <w:rPr>
          <w:iCs/>
          <w:i/>
          <w:color w:val="606060"/>
        </w:rPr>
        <w:t xml:space="preserve">National innovation input</w:t>
      </w:r>
      <w:r>
        <w:rPr>
          <w:iCs/>
          <w:i/>
          <w:color w:val="606060"/>
        </w:rPr>
        <w:t xml:space="preserve">”</w:t>
      </w:r>
      <w:r>
        <w:rPr>
          <w:iCs/>
          <w:i/>
          <w:color w:val="606060"/>
        </w:rPr>
        <w:t xml:space="preserve">: three edits.</w:t>
      </w:r>
      <w:r>
        <w:rPr>
          <w:iCs/>
          <w:i/>
          <w:color w:val="606060"/>
        </w:rPr>
        <w:t xml:space="preserve"> </w:t>
      </w:r>
      <w:r>
        <w:rPr>
          <w:iCs/>
          <w:i/>
          <w:color w:val="606060"/>
        </w:rPr>
        <w:t xml:space="preserve">“</w:t>
      </w:r>
      <w:r>
        <w:rPr>
          <w:iCs/>
          <w:i/>
          <w:color w:val="606060"/>
        </w:rPr>
        <w:t xml:space="preserve">While the technology capability of a country measures the technological output dimensions…</w:t>
      </w:r>
      <w:r>
        <w:rPr>
          <w:iCs/>
          <w:i/>
          <w:color w:val="606060"/>
        </w:rPr>
        <w:t xml:space="preserve">”</w:t>
      </w:r>
      <w:r>
        <w:rPr>
          <w:iCs/>
          <w:i/>
          <w:color w:val="606060"/>
        </w:rPr>
        <w:t xml:space="preserve"> </w:t>
      </w:r>
      <w:r>
        <w:rPr>
          <w:iCs/>
          <w:i/>
          <w:color w:val="606060"/>
        </w:rPr>
        <w:t xml:space="preserve">becomes</w:t>
      </w:r>
      <w:r>
        <w:rPr>
          <w:iCs/>
          <w:i/>
          <w:color w:val="606060"/>
        </w:rPr>
        <w:t xml:space="preserve"> </w:t>
      </w:r>
      <w:r>
        <w:rPr>
          <w:iCs/>
          <w:i/>
          <w:color w:val="606060"/>
        </w:rPr>
        <w:t xml:space="preserve">“</w:t>
      </w:r>
      <w:r>
        <w:rPr>
          <w:iCs/>
          <w:i/>
          <w:color w:val="606060"/>
        </w:rPr>
        <w:t xml:space="preserve">While the technology development level of a country measures technological outputs…</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…in contrast to technology capability, which reflects the output or realised capability side</w:t>
      </w:r>
      <w:r>
        <w:rPr>
          <w:iCs/>
          <w:i/>
          <w:color w:val="606060"/>
        </w:rPr>
        <w:t xml:space="preserve">”</w:t>
      </w:r>
      <w:r>
        <w:rPr>
          <w:iCs/>
          <w:i/>
          <w:color w:val="606060"/>
        </w:rPr>
        <w:t xml:space="preserve"> </w:t>
      </w:r>
      <w:r>
        <w:rPr>
          <w:iCs/>
          <w:i/>
          <w:color w:val="606060"/>
        </w:rPr>
        <w:t xml:space="preserve">becomes</w:t>
      </w:r>
      <w:r>
        <w:rPr>
          <w:iCs/>
          <w:i/>
          <w:color w:val="606060"/>
        </w:rPr>
        <w:t xml:space="preserve"> </w:t>
      </w:r>
      <w:r>
        <w:rPr>
          <w:iCs/>
          <w:i/>
          <w:color w:val="606060"/>
        </w:rPr>
        <w:t xml:space="preserve">“</w:t>
      </w:r>
      <w:r>
        <w:rPr>
          <w:iCs/>
          <w:i/>
          <w:color w:val="606060"/>
        </w:rPr>
        <w:t xml:space="preserve">…in contrast to the technology development level, which reflects realised outcomes</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…such inputs are expected to strengthen the technological capability of a country</w:t>
      </w:r>
      <w:r>
        <w:rPr>
          <w:iCs/>
          <w:i/>
          <w:color w:val="606060"/>
        </w:rPr>
        <w:t xml:space="preserve">”</w:t>
      </w:r>
      <w:r>
        <w:rPr>
          <w:iCs/>
          <w:i/>
          <w:color w:val="606060"/>
        </w:rPr>
        <w:t xml:space="preserve"> </w:t>
      </w:r>
      <w:r>
        <w:rPr>
          <w:iCs/>
          <w:i/>
          <w:color w:val="606060"/>
        </w:rPr>
        <w:t xml:space="preserve">becomes</w:t>
      </w:r>
      <w:r>
        <w:rPr>
          <w:iCs/>
          <w:i/>
          <w:color w:val="606060"/>
        </w:rPr>
        <w:t xml:space="preserve"> </w:t>
      </w:r>
      <w:r>
        <w:rPr>
          <w:iCs/>
          <w:i/>
          <w:color w:val="606060"/>
        </w:rPr>
        <w:t xml:space="preserve">“</w:t>
      </w:r>
      <w:r>
        <w:rPr>
          <w:iCs/>
          <w:i/>
          <w:color w:val="606060"/>
        </w:rPr>
        <w:t xml:space="preserve">…such inputs are expected to raise the technology development level of a country</w:t>
      </w:r>
      <w:r>
        <w:rPr>
          <w:iCs/>
          <w:i/>
          <w:color w:val="606060"/>
        </w:rPr>
        <w:t xml:space="preserve">”</w:t>
      </w:r>
      <w:r>
        <w:rPr>
          <w:iCs/>
          <w:i/>
          <w:color w:val="606060"/>
        </w:rPr>
        <w:t xml:space="preserve">.</w:t>
      </w:r>
    </w:p>
    <w:p>
      <w:pPr>
        <w:pStyle w:val="BlockText"/>
      </w:pPr>
      <w:r>
        <w:rPr>
          <w:iCs/>
          <w:i/>
          <w:color w:val="606060"/>
        </w:rPr>
        <w:t xml:space="preserve">(e) Table 9 (variable definitions): the construct label becomes</w:t>
      </w:r>
      <w:r>
        <w:rPr>
          <w:iCs/>
          <w:i/>
          <w:color w:val="606060"/>
        </w:rPr>
        <w:t xml:space="preserve"> </w:t>
      </w:r>
      <w:r>
        <w:rPr>
          <w:iCs/>
          <w:i/>
          <w:color w:val="606060"/>
        </w:rPr>
        <w:t xml:space="preserve">“</w:t>
      </w:r>
      <w:r>
        <w:rPr>
          <w:iCs/>
          <w:i/>
          <w:color w:val="606060"/>
        </w:rPr>
        <w:t xml:space="preserve">Technology development level of a country (TDL)</w:t>
      </w:r>
      <w:r>
        <w:rPr>
          <w:iCs/>
          <w:i/>
          <w:color w:val="606060"/>
        </w:rPr>
        <w:t xml:space="preserve">”</w:t>
      </w:r>
      <w:r>
        <w:rPr>
          <w:iCs/>
          <w:i/>
          <w:color w:val="606060"/>
        </w:rPr>
        <w:t xml:space="preserve">; TC1–TC3 become TDL1–TDL3;</w:t>
      </w:r>
      <w:r>
        <w:rPr>
          <w:iCs/>
          <w:i/>
          <w:color w:val="606060"/>
        </w:rPr>
        <w:t xml:space="preserve"> </w:t>
      </w:r>
      <w:r>
        <w:rPr>
          <w:iCs/>
          <w:i/>
          <w:color w:val="606060"/>
        </w:rPr>
        <w:t xml:space="preserve">“</w:t>
      </w:r>
      <w:r>
        <w:rPr>
          <w:iCs/>
          <w:i/>
          <w:color w:val="606060"/>
        </w:rPr>
        <w:t xml:space="preserve">More patents indicate a higher level of technology capability</w:t>
      </w:r>
      <w:r>
        <w:rPr>
          <w:iCs/>
          <w:i/>
          <w:color w:val="606060"/>
        </w:rPr>
        <w:t xml:space="preserve">”</w:t>
      </w:r>
      <w:r>
        <w:rPr>
          <w:iCs/>
          <w:i/>
          <w:color w:val="606060"/>
        </w:rPr>
        <w:t xml:space="preserve"> </w:t>
      </w:r>
      <w:r>
        <w:rPr>
          <w:iCs/>
          <w:i/>
          <w:color w:val="606060"/>
        </w:rPr>
        <w:t xml:space="preserve">becomes</w:t>
      </w:r>
      <w:r>
        <w:rPr>
          <w:iCs/>
          <w:i/>
          <w:color w:val="606060"/>
        </w:rPr>
        <w:t xml:space="preserve"> </w:t>
      </w:r>
      <w:r>
        <w:rPr>
          <w:iCs/>
          <w:i/>
          <w:color w:val="606060"/>
        </w:rPr>
        <w:t xml:space="preserve">“</w:t>
      </w:r>
      <w:r>
        <w:rPr>
          <w:iCs/>
          <w:i/>
          <w:color w:val="606060"/>
        </w:rPr>
        <w:t xml:space="preserve">More patents indicate a higher technology development level</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The higher value-added implies higher technology capability</w:t>
      </w:r>
      <w:r>
        <w:rPr>
          <w:iCs/>
          <w:i/>
          <w:color w:val="606060"/>
        </w:rPr>
        <w:t xml:space="preserve">”</w:t>
      </w:r>
      <w:r>
        <w:rPr>
          <w:iCs/>
          <w:i/>
          <w:color w:val="606060"/>
        </w:rPr>
        <w:t xml:space="preserve"> </w:t>
      </w:r>
      <w:r>
        <w:rPr>
          <w:iCs/>
          <w:i/>
          <w:color w:val="606060"/>
        </w:rPr>
        <w:t xml:space="preserve">becomes</w:t>
      </w:r>
      <w:r>
        <w:rPr>
          <w:iCs/>
          <w:i/>
          <w:color w:val="606060"/>
        </w:rPr>
        <w:t xml:space="preserve"> </w:t>
      </w:r>
      <w:r>
        <w:rPr>
          <w:iCs/>
          <w:i/>
          <w:color w:val="606060"/>
        </w:rPr>
        <w:t xml:space="preserve">“</w:t>
      </w:r>
      <w:r>
        <w:rPr>
          <w:iCs/>
          <w:i/>
          <w:color w:val="606060"/>
        </w:rPr>
        <w:t xml:space="preserve">Higher value added implies a higher technology development level</w:t>
      </w:r>
      <w:r>
        <w:rPr>
          <w:iCs/>
          <w:i/>
          <w:color w:val="606060"/>
        </w:rPr>
        <w:t xml:space="preserve">”</w:t>
      </w:r>
      <w:r>
        <w:rPr>
          <w:iCs/>
          <w:i/>
          <w:color w:val="606060"/>
        </w:rPr>
        <w:t xml:space="preserve">. Add UNIDO (n.d.) to the source column for TDL3 if it lists sources.</w:t>
      </w:r>
    </w:p>
    <w:bookmarkEnd w:id="22"/>
    <w:bookmarkStart w:id="23" w:name="b3.-section-4.3.2-hypotheses"/>
    <w:p>
      <w:pPr>
        <w:pStyle w:val="Heading2"/>
      </w:pPr>
      <w:r>
        <w:t xml:space="preserve">B3. Section 4.3.2: hypotheses</w:t>
      </w:r>
    </w:p>
    <w:p>
      <w:pPr>
        <w:pStyle w:val="BlockText"/>
      </w:pPr>
      <w:r>
        <w:rPr>
          <w:iCs/>
          <w:i/>
          <w:color w:val="606060"/>
        </w:rPr>
        <w:t xml:space="preserve">Replace the paragraphs under</w:t>
      </w:r>
      <w:r>
        <w:rPr>
          <w:iCs/>
          <w:i/>
          <w:color w:val="606060"/>
        </w:rPr>
        <w:t xml:space="preserve"> </w:t>
      </w:r>
      <w:r>
        <w:rPr>
          <w:iCs/>
          <w:i/>
          <w:color w:val="606060"/>
        </w:rPr>
        <w:t xml:space="preserve">“</w:t>
      </w:r>
      <w:r>
        <w:rPr>
          <w:iCs/>
          <w:i/>
          <w:color w:val="606060"/>
        </w:rPr>
        <w:t xml:space="preserve">Hypothesis description</w:t>
      </w:r>
      <w:r>
        <w:rPr>
          <w:iCs/>
          <w:i/>
          <w:color w:val="606060"/>
        </w:rPr>
        <w:t xml:space="preserve">”</w:t>
      </w:r>
      <w:r>
        <w:rPr>
          <w:iCs/>
          <w:i/>
          <w:color w:val="606060"/>
        </w:rPr>
        <w:t xml:space="preserve"> </w:t>
      </w:r>
      <w:r>
        <w:rPr>
          <w:iCs/>
          <w:i/>
          <w:color w:val="606060"/>
        </w:rPr>
        <w:t xml:space="preserve">from</w:t>
      </w:r>
      <w:r>
        <w:rPr>
          <w:iCs/>
          <w:i/>
          <w:color w:val="606060"/>
        </w:rPr>
        <w:t xml:space="preserve"> </w:t>
      </w:r>
      <w:r>
        <w:rPr>
          <w:iCs/>
          <w:i/>
          <w:color w:val="606060"/>
        </w:rPr>
        <w:t xml:space="preserve">“</w:t>
      </w:r>
      <w:r>
        <w:rPr>
          <w:iCs/>
          <w:i/>
          <w:color w:val="606060"/>
        </w:rPr>
        <w:t xml:space="preserve">Based on national innovation system theory, the government plays multiple roles…</w:t>
      </w:r>
      <w:r>
        <w:rPr>
          <w:iCs/>
          <w:i/>
          <w:color w:val="606060"/>
        </w:rPr>
        <w:t xml:space="preserve">”</w:t>
      </w:r>
      <w:r>
        <w:rPr>
          <w:iCs/>
          <w:i/>
          <w:color w:val="606060"/>
        </w:rPr>
        <w:t xml:space="preserve"> </w:t>
      </w:r>
      <w:r>
        <w:rPr>
          <w:iCs/>
          <w:i/>
          <w:color w:val="606060"/>
        </w:rPr>
        <w:t xml:space="preserve">to H3 with the text below. The paragraph on innovation input and firm-level outputs (Cruz-Cázares et al., 2013; Parthasarthy &amp; Hammond, 2002) is unchanged except for its last two sentences, which are given here. In the paragraph before H4, change</w:t>
      </w:r>
      <w:r>
        <w:rPr>
          <w:iCs/>
          <w:i/>
          <w:color w:val="606060"/>
        </w:rPr>
        <w:t xml:space="preserve"> </w:t>
      </w:r>
      <w:r>
        <w:rPr>
          <w:iCs/>
          <w:i/>
          <w:color w:val="606060"/>
        </w:rPr>
        <w:t xml:space="preserve">“</w:t>
      </w:r>
      <w:r>
        <w:rPr>
          <w:iCs/>
          <w:i/>
          <w:color w:val="606060"/>
        </w:rPr>
        <w:t xml:space="preserve">…government incentives not only directly affect the technology capability to generate innovative outcomes…</w:t>
      </w:r>
      <w:r>
        <w:rPr>
          <w:iCs/>
          <w:i/>
          <w:color w:val="606060"/>
        </w:rPr>
        <w:t xml:space="preserve">”</w:t>
      </w:r>
      <w:r>
        <w:rPr>
          <w:iCs/>
          <w:i/>
          <w:color w:val="606060"/>
        </w:rPr>
        <w:t xml:space="preserve"> </w:t>
      </w:r>
      <w:r>
        <w:rPr>
          <w:iCs/>
          <w:i/>
          <w:color w:val="606060"/>
        </w:rPr>
        <w:t xml:space="preserve">to</w:t>
      </w:r>
      <w:r>
        <w:rPr>
          <w:iCs/>
          <w:i/>
          <w:color w:val="606060"/>
        </w:rPr>
        <w:t xml:space="preserve"> </w:t>
      </w:r>
      <w:r>
        <w:rPr>
          <w:iCs/>
          <w:i/>
          <w:color w:val="606060"/>
        </w:rPr>
        <w:t xml:space="preserve">“</w:t>
      </w:r>
      <w:r>
        <w:rPr>
          <w:iCs/>
          <w:i/>
          <w:color w:val="606060"/>
        </w:rPr>
        <w:t xml:space="preserve">…government incentives not only directly affect the generation of innovative outcomes, and hence the technology development level,…</w:t>
      </w:r>
      <w:r>
        <w:rPr>
          <w:iCs/>
          <w:i/>
          <w:color w:val="606060"/>
        </w:rPr>
        <w:t xml:space="preserve">”</w:t>
      </w:r>
      <w:r>
        <w:rPr>
          <w:iCs/>
          <w:i/>
          <w:color w:val="606060"/>
        </w:rPr>
        <w:t xml:space="preserve">.</w:t>
      </w:r>
    </w:p>
    <w:p>
      <w:pPr>
        <w:pStyle w:val="FirstParagraph"/>
      </w:pPr>
      <w:r>
        <w:rPr>
          <w:color w:val="7030A0"/>
        </w:rPr>
        <w:t xml:space="preserve">Based on national innovation system theory, the government plays multiple roles in affecting the technology development level of a country. In this chapter, the technology development level reflects the technological output achieved in transport-related fields, and government incentives for R&amp;D are also measured for transport infrastructure-related industries, as described in the indicator definitions. According to national innovation system theory, government support is important for technological development, as the government can act as a regulator, a sponsor, a user or even a buyer in the process of technology commercialisation (Caerteling et al., 2008). Government support takes multiple forms, including direct funds and indirect incentives, which may have different effects. Guan and Yam (2015) studied firms in Beijing, China, during the 1990s and found that direct government financial incentives failed to increase the patents of either high-tech or general firms, and that explicit earmarks even had a negative effect. However, studies of Australian and Brazilian firms have shown that direct incentives are crucial to improving firms’ innovation capabilities (Yigitcanlar et al., 2019), which underpin the technological outputs measured in this chapter.</w:t>
      </w:r>
    </w:p>
    <w:p>
      <w:pPr>
        <w:pStyle w:val="BodyText"/>
      </w:pPr>
      <w:r>
        <w:rPr>
          <w:color w:val="7030A0"/>
        </w:rPr>
        <w:t xml:space="preserve">Generally, encouraging policies, such as lower taxes and favourable compensation through funds and subsidies, can fuel R&amp;D and the generation of new technologies. It is therefore hypothesised that government incentives for R&amp;D are associated with more technology being created and diffused, and hence with a higher technology development level. From the demand-pull view, the relationship may also run in the opposite direction: a higher technology development level, with more innovation outputs, may influence policymakers’ decisions on how much effort to devote to encouraging R&amp;D. The reverse relationship is therefore also tested in this chapter. The first hypothesis is as follows:</w:t>
      </w:r>
    </w:p>
    <w:p>
      <w:pPr>
        <w:pStyle w:val="BodyText"/>
      </w:pPr>
      <w:r>
        <w:rPr>
          <w:bCs/>
          <w:b/>
          <w:color w:val="7030A0"/>
        </w:rPr>
        <w:t xml:space="preserve">H1: Government incentives for R&amp;D are positively related to the technology development level of a country.</w:t>
      </w:r>
    </w:p>
    <w:p>
      <w:pPr>
        <w:pStyle w:val="BlockText"/>
      </w:pPr>
      <w:r>
        <w:rPr>
          <w:iCs/>
          <w:i/>
          <w:color w:val="606060"/>
        </w:rPr>
        <w:t xml:space="preserve">Second hypothesis paragraph (on demand-pull and technology-push, Cruz-Cázares et al., 2013): replace the sentence citing Sultana and Turkina (2020) with the first sentence below. Its current wording (</w:t>
      </w:r>
      <w:r>
        <w:rPr>
          <w:iCs/>
          <w:i/>
          <w:color w:val="606060"/>
        </w:rPr>
        <w:t xml:space="preserve">“</w:t>
      </w:r>
      <w:r>
        <w:rPr>
          <w:iCs/>
          <w:i/>
          <w:color w:val="606060"/>
        </w:rPr>
        <w:t xml:space="preserve">technology absorptive ability … could positively affect technological superiority</w:t>
      </w:r>
      <w:r>
        <w:rPr>
          <w:iCs/>
          <w:i/>
          <w:color w:val="606060"/>
        </w:rPr>
        <w:t xml:space="preserve">”</w:t>
      </w:r>
      <w:r>
        <w:rPr>
          <w:iCs/>
          <w:i/>
          <w:color w:val="606060"/>
        </w:rPr>
        <w:t xml:space="preserve">) goes beyond what the study reports. Then replace the last two sentences before H2 with the second and third sentences below.</w:t>
      </w:r>
    </w:p>
    <w:p>
      <w:pPr>
        <w:pStyle w:val="FirstParagraph"/>
      </w:pPr>
      <w:r>
        <w:rPr>
          <w:color w:val="7030A0"/>
        </w:rPr>
        <w:t xml:space="preserve">In studies of technology transfer and foreign direct investment, a country’s absorptive capacity, indicated by R&amp;D, human capital and knowledge intensity, has been found to strengthen the association between its position in international investment networks and its technology status (Sultana &amp; Turkina, 2020).</w:t>
      </w:r>
    </w:p>
    <w:p>
      <w:pPr>
        <w:pStyle w:val="BodyText"/>
      </w:pPr>
      <w:r>
        <w:rPr>
          <w:color w:val="7030A0"/>
        </w:rPr>
        <w:t xml:space="preserve">In this chapter, the technology development level of a country reflects the technology production outcomes that the country has achieved. It is therefore hypothesised that countries with higher innovation input in the transport sector have a higher technology development level, and that the effect of innovation input on participation in technology projects is indirect. The second hypothesis is as follows:</w:t>
      </w:r>
    </w:p>
    <w:p>
      <w:pPr>
        <w:pStyle w:val="BodyText"/>
      </w:pPr>
      <w:r>
        <w:rPr>
          <w:bCs/>
          <w:b/>
          <w:color w:val="7030A0"/>
        </w:rPr>
        <w:t xml:space="preserve">H2: National innovation input is positively related to the technology development level of a country.</w:t>
      </w:r>
    </w:p>
    <w:p>
      <w:pPr>
        <w:pStyle w:val="BodyText"/>
      </w:pPr>
      <w:r>
        <w:rPr>
          <w:color w:val="7030A0"/>
        </w:rPr>
        <w:t xml:space="preserve">Early research found that factors such as the concentration of innovative activities and the size of innovative firms, which reflect the innovativeness of a sector, are essential elements of technological innovation and progress (Malerba &amp; Orsenigo, 1996). A higher technology development level indicates that a country has accumulated a larger stock of technological knowledge and more organisations with the capabilities to develop and update technology. Such prior knowledge enables organisations to recognise, assimilate and apply new knowledge (Cohen &amp; Levinthal, 1990), and absorptive capacity, technological opportunity and knowledge spillovers raise the innovative effort that firms dedicate to innovative activities (Nieto &amp; Quevedo, 2005).</w:t>
      </w:r>
    </w:p>
    <w:p>
      <w:pPr>
        <w:pStyle w:val="BodyText"/>
      </w:pPr>
      <w:r>
        <w:rPr>
          <w:color w:val="7030A0"/>
        </w:rPr>
        <w:t xml:space="preserve">Participation in technology projects draws on these resources. In transport infrastructure, for example, digital transformation requires substantial research and trials (Fruth &amp; Teuteberg, 2017), and in EU research funding, organisations with prior participation in the Framework Programmes and a stronger scientific reputation are more likely to obtain grants (Enger &amp; Castellacci, 2016). Based on technology-push theory, a higher technology development level is therefore expected to help organisations create and take up new technologies, and to lead and join technology projects. It should be noted that the dependent variable, the level of participation, is measured at the country level as the aggregate of all stakeholder activities (total leading projects, total duration and total project cost) within that country; it does not refer to individual firm participation decisions. The hypothesis therefore predicts that countries with a higher technology development level, for example with more patents, technology exports and value added in transport equipment, tend to show higher aggregate stakeholder engagement in technology projects. The third hypothesis is as follows:</w:t>
      </w:r>
    </w:p>
    <w:p>
      <w:pPr>
        <w:pStyle w:val="BodyText"/>
      </w:pPr>
      <w:r>
        <w:rPr>
          <w:bCs/>
          <w:b/>
          <w:color w:val="7030A0"/>
        </w:rPr>
        <w:t xml:space="preserve">H3: The technology development level of a country is positively related to the level of participation in transport infrastructure technology projects.</w:t>
      </w:r>
    </w:p>
    <w:p>
      <w:pPr>
        <w:pStyle w:val="BlockText"/>
      </w:pPr>
      <w:r>
        <w:rPr>
          <w:iCs/>
          <w:i/>
          <w:color w:val="606060"/>
        </w:rPr>
        <w:t xml:space="preserve">This removes Gupta et al. (2020). Its abstract concerns how new-age technologies support social innovation, so it does not support the claim that</w:t>
      </w:r>
      <w:r>
        <w:rPr>
          <w:iCs/>
          <w:i/>
          <w:color w:val="606060"/>
        </w:rPr>
        <w:t xml:space="preserve"> </w:t>
      </w:r>
      <w:r>
        <w:rPr>
          <w:iCs/>
          <w:i/>
          <w:color w:val="606060"/>
        </w:rPr>
        <w:t xml:space="preserve">“</w:t>
      </w:r>
      <w:r>
        <w:rPr>
          <w:iCs/>
          <w:i/>
          <w:color w:val="606060"/>
        </w:rPr>
        <w:t xml:space="preserve">innovation applications and technology changes are found to be facilitated by technology capability</w:t>
      </w:r>
      <w:r>
        <w:rPr>
          <w:iCs/>
          <w:i/>
          <w:color w:val="606060"/>
        </w:rPr>
        <w:t xml:space="preserve">”</w:t>
      </w:r>
      <w:r>
        <w:rPr>
          <w:iCs/>
          <w:i/>
          <w:color w:val="606060"/>
        </w:rPr>
        <w:t xml:space="preserve">. Cohen and Levinthal (1990) and Enger and Castellacci (2016) take its place.</w:t>
      </w:r>
    </w:p>
    <w:bookmarkEnd w:id="23"/>
    <w:bookmarkStart w:id="24" w:name="X4b9e7108e101b6b72a18262286e57a862955711"/>
    <w:p>
      <w:pPr>
        <w:pStyle w:val="Heading2"/>
      </w:pPr>
      <w:r>
        <w:t xml:space="preserve">B4. Sections 4.4 and 4.6: results, implications and conclusion</w:t>
      </w:r>
    </w:p>
    <w:p>
      <w:pPr>
        <w:pStyle w:val="BlockText"/>
      </w:pPr>
      <w:r>
        <w:rPr>
          <w:iCs/>
          <w:i/>
          <w:color w:val="606060"/>
        </w:rPr>
        <w:t xml:space="preserve">Most sentences in Sections 4.4.1–4.4.3 and 4.6 need only the term replaced (</w:t>
      </w:r>
      <w:r>
        <w:rPr>
          <w:iCs/>
          <w:i/>
          <w:color w:val="606060"/>
        </w:rPr>
        <w:t xml:space="preserve">“</w:t>
      </w:r>
      <w:r>
        <w:rPr>
          <w:iCs/>
          <w:i/>
          <w:color w:val="606060"/>
        </w:rPr>
        <w:t xml:space="preserve">technology capability</w:t>
      </w:r>
      <w:r>
        <w:rPr>
          <w:iCs/>
          <w:i/>
          <w:color w:val="606060"/>
        </w:rPr>
        <w:t xml:space="preserve">”</w:t>
      </w:r>
      <w:r>
        <w:rPr>
          <w:iCs/>
          <w:i/>
          <w:color w:val="606060"/>
        </w:rPr>
        <w:t xml:space="preserve"> </w:t>
      </w:r>
      <w:r>
        <w:rPr>
          <w:iCs/>
          <w:i/>
          <w:color w:val="606060"/>
        </w:rPr>
        <w:t xml:space="preserve">or</w:t>
      </w:r>
      <w:r>
        <w:rPr>
          <w:iCs/>
          <w:i/>
          <w:color w:val="606060"/>
        </w:rPr>
        <w:t xml:space="preserve"> </w:t>
      </w:r>
      <w:r>
        <w:rPr>
          <w:iCs/>
          <w:i/>
          <w:color w:val="606060"/>
        </w:rPr>
        <w:t xml:space="preserve">“</w:t>
      </w:r>
      <w:r>
        <w:rPr>
          <w:iCs/>
          <w:i/>
          <w:color w:val="606060"/>
        </w:rPr>
        <w:t xml:space="preserve">technological capability</w:t>
      </w:r>
      <w:r>
        <w:rPr>
          <w:iCs/>
          <w:i/>
          <w:color w:val="606060"/>
        </w:rPr>
        <w:t xml:space="preserve">”</w:t>
      </w:r>
      <w:r>
        <w:rPr>
          <w:iCs/>
          <w:i/>
          <w:color w:val="606060"/>
        </w:rPr>
        <w:t xml:space="preserve"> </w:t>
      </w:r>
      <w:r>
        <w:rPr>
          <w:iCs/>
          <w:i/>
          <w:color w:val="606060"/>
        </w:rPr>
        <w:t xml:space="preserve">→</w:t>
      </w:r>
      <w:r>
        <w:rPr>
          <w:iCs/>
          <w:i/>
          <w:color w:val="606060"/>
        </w:rPr>
        <w:t xml:space="preserve"> </w:t>
      </w:r>
      <w:r>
        <w:rPr>
          <w:iCs/>
          <w:i/>
          <w:color w:val="606060"/>
        </w:rPr>
        <w:t xml:space="preserve">“</w:t>
      </w:r>
      <w:r>
        <w:rPr>
          <w:iCs/>
          <w:i/>
          <w:color w:val="606060"/>
        </w:rPr>
        <w:t xml:space="preserve">technology development level</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TC</w:t>
      </w:r>
      <w:r>
        <w:rPr>
          <w:iCs/>
          <w:i/>
          <w:color w:val="606060"/>
        </w:rPr>
        <w:t xml:space="preserve">”</w:t>
      </w:r>
      <w:r>
        <w:rPr>
          <w:iCs/>
          <w:i/>
          <w:color w:val="606060"/>
        </w:rPr>
        <w:t xml:space="preserve"> </w:t>
      </w:r>
      <w:r>
        <w:rPr>
          <w:iCs/>
          <w:i/>
          <w:color w:val="606060"/>
        </w:rPr>
        <w:t xml:space="preserve">→</w:t>
      </w:r>
      <w:r>
        <w:rPr>
          <w:iCs/>
          <w:i/>
          <w:color w:val="606060"/>
        </w:rPr>
        <w:t xml:space="preserve"> </w:t>
      </w:r>
      <w:r>
        <w:rPr>
          <w:iCs/>
          <w:i/>
          <w:color w:val="606060"/>
        </w:rPr>
        <w:t xml:space="preserve">“</w:t>
      </w:r>
      <w:r>
        <w:rPr>
          <w:iCs/>
          <w:i/>
          <w:color w:val="606060"/>
        </w:rPr>
        <w:t xml:space="preserve">TDL</w:t>
      </w:r>
      <w:r>
        <w:rPr>
          <w:iCs/>
          <w:i/>
          <w:color w:val="606060"/>
        </w:rPr>
        <w:t xml:space="preserve">”</w:t>
      </w:r>
      <w:r>
        <w:rPr>
          <w:iCs/>
          <w:i/>
          <w:color w:val="606060"/>
        </w:rPr>
        <w:t xml:space="preserve">). The sentences below need rewording because they describe the construct as an ability or state a causal link.</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Revised sentence</w:t>
            </w:r>
          </w:p>
        </w:tc>
      </w:tr>
      <w:tr>
        <w:tc>
          <w:tcPr/>
          <w:p>
            <w:pPr>
              <w:pStyle w:val="Compact"/>
              <w:jc w:val="left"/>
            </w:pPr>
            <w:r>
              <w:rPr>
                <w:color w:val="7030A0"/>
                <w:sz w:val="18"/>
              </w:rPr>
              <w:t xml:space="preserve">4.4.2, after Table 12</w:t>
            </w:r>
          </w:p>
        </w:tc>
        <w:tc>
          <w:tcPr/>
          <w:p>
            <w:pPr>
              <w:pStyle w:val="Compact"/>
              <w:jc w:val="left"/>
            </w:pPr>
            <w:r>
              <w:rPr>
                <w:color w:val="7030A0"/>
                <w:sz w:val="18"/>
              </w:rPr>
              <w:t xml:space="preserve">Innovation input has a weight of 0.39 on the technology development level, which reflects how efficiently innovation input is turned into technological outputs.</w:t>
            </w:r>
          </w:p>
        </w:tc>
      </w:tr>
      <w:tr>
        <w:tc>
          <w:tcPr/>
          <w:p>
            <w:pPr>
              <w:pStyle w:val="Compact"/>
              <w:jc w:val="left"/>
            </w:pPr>
            <w:r>
              <w:rPr>
                <w:color w:val="7030A0"/>
                <w:sz w:val="18"/>
              </w:rPr>
              <w:t xml:space="preserve">4.4.3, first paragraph</w:t>
            </w:r>
          </w:p>
        </w:tc>
        <w:tc>
          <w:tcPr/>
          <w:p>
            <w:pPr>
              <w:pStyle w:val="Compact"/>
              <w:jc w:val="left"/>
            </w:pPr>
            <w:r>
              <w:rPr>
                <w:color w:val="7030A0"/>
                <w:sz w:val="18"/>
              </w:rPr>
              <w:t xml:space="preserve">It implies that the technological development a country has achieved, which reflects the creating and absorbing capacity of its national system, can strongly support organisations’ involvement in developing transport infrastructure technology.</w:t>
            </w:r>
          </w:p>
        </w:tc>
      </w:tr>
      <w:tr>
        <w:tc>
          <w:tcPr/>
          <w:p>
            <w:pPr>
              <w:pStyle w:val="Compact"/>
              <w:jc w:val="left"/>
            </w:pPr>
            <w:r>
              <w:rPr>
                <w:color w:val="7030A0"/>
                <w:sz w:val="18"/>
              </w:rPr>
              <w:t xml:space="preserve">4.4.3, interpretation of Table 9</w:t>
            </w:r>
          </w:p>
        </w:tc>
        <w:tc>
          <w:tcPr/>
          <w:p>
            <w:pPr>
              <w:pStyle w:val="Compact"/>
              <w:jc w:val="left"/>
            </w:pPr>
            <w:r>
              <w:rPr>
                <w:color w:val="7030A0"/>
                <w:sz w:val="18"/>
              </w:rPr>
              <w:t xml:space="preserve">Since the technology development level is positively related to national innovation input, it shows how far a country has turned its human resources and other innovation inputs into technological products and services, and how innovative it is in creating and applying technology.</w:t>
            </w:r>
          </w:p>
        </w:tc>
      </w:tr>
      <w:tr>
        <w:tc>
          <w:tcPr/>
          <w:p>
            <w:pPr>
              <w:pStyle w:val="Compact"/>
              <w:jc w:val="left"/>
            </w:pPr>
            <w:r>
              <w:rPr>
                <w:color w:val="7030A0"/>
                <w:sz w:val="18"/>
              </w:rPr>
              <w:t xml:space="preserve">4.4.3, two-stage pathway</w:t>
            </w:r>
          </w:p>
        </w:tc>
        <w:tc>
          <w:tcPr/>
          <w:p>
            <w:pPr>
              <w:pStyle w:val="Compact"/>
              <w:jc w:val="left"/>
            </w:pPr>
            <w:r>
              <w:rPr>
                <w:color w:val="7030A0"/>
                <w:sz w:val="18"/>
              </w:rPr>
              <w:t xml:space="preserve">In transport infrastructure technology development, high innovation input is associated with a higher technology development level, and a higher development level, which reflects the capabilities to develop or adopt new technologies, is associated with more project launches and completions.</w:t>
            </w:r>
          </w:p>
        </w:tc>
      </w:tr>
      <w:tr>
        <w:tc>
          <w:tcPr/>
          <w:p>
            <w:pPr>
              <w:pStyle w:val="Compact"/>
              <w:jc w:val="left"/>
            </w:pPr>
            <w:r>
              <w:rPr>
                <w:color w:val="7030A0"/>
                <w:sz w:val="18"/>
              </w:rPr>
              <w:t xml:space="preserve">4.4.3, implications for policymakers</w:t>
            </w:r>
          </w:p>
        </w:tc>
        <w:tc>
          <w:tcPr/>
          <w:p>
            <w:pPr>
              <w:pStyle w:val="Compact"/>
              <w:jc w:val="left"/>
            </w:pPr>
            <w:r>
              <w:rPr>
                <w:color w:val="7030A0"/>
                <w:sz w:val="18"/>
              </w:rPr>
              <w:t xml:space="preserve">…further enhancing the innovation input and the overall technology development level of a country. Another way of raising the technology development level is to facilitate public–private partnerships… as this can pool expertise and resources and lead to further technological development.</w:t>
            </w:r>
          </w:p>
        </w:tc>
      </w:tr>
      <w:tr>
        <w:tc>
          <w:tcPr/>
          <w:p>
            <w:pPr>
              <w:pStyle w:val="Compact"/>
              <w:jc w:val="left"/>
            </w:pPr>
            <w:r>
              <w:rPr>
                <w:color w:val="7030A0"/>
                <w:sz w:val="18"/>
              </w:rPr>
              <w:t xml:space="preserve">4.4.3, implications for organisations</w:t>
            </w:r>
          </w:p>
        </w:tc>
        <w:tc>
          <w:tcPr/>
          <w:p>
            <w:pPr>
              <w:pStyle w:val="Compact"/>
              <w:jc w:val="left"/>
            </w:pPr>
            <w:r>
              <w:rPr>
                <w:color w:val="7030A0"/>
                <w:sz w:val="18"/>
              </w:rPr>
              <w:t xml:space="preserve">…to enhance innovation input and their own technological capabilities. … which could strengthen the organisations’ technological capabilities and, in aggregate, raise the country’s technology development level, and subsequently benefit the development of transport infrastructure.</w:t>
            </w:r>
          </w:p>
        </w:tc>
      </w:tr>
      <w:tr>
        <w:tc>
          <w:tcPr/>
          <w:p>
            <w:pPr>
              <w:pStyle w:val="Compact"/>
              <w:jc w:val="left"/>
            </w:pPr>
            <w:r>
              <w:rPr>
                <w:color w:val="7030A0"/>
                <w:sz w:val="18"/>
              </w:rPr>
              <w:t xml:space="preserve">4.4.3, transferability</w:t>
            </w:r>
          </w:p>
        </w:tc>
        <w:tc>
          <w:tcPr/>
          <w:p>
            <w:pPr>
              <w:pStyle w:val="Compact"/>
              <w:jc w:val="left"/>
            </w:pPr>
            <w:r>
              <w:rPr>
                <w:color w:val="7030A0"/>
                <w:sz w:val="18"/>
              </w:rPr>
              <w:t xml:space="preserve">…such as government incentives stimulating technological development and innovation input, can still be adapted.</w:t>
            </w:r>
          </w:p>
        </w:tc>
      </w:tr>
      <w:tr>
        <w:tc>
          <w:tcPr/>
          <w:p>
            <w:pPr>
              <w:pStyle w:val="Compact"/>
              <w:jc w:val="left"/>
            </w:pPr>
            <w:r>
              <w:rPr>
                <w:color w:val="7030A0"/>
                <w:sz w:val="18"/>
              </w:rPr>
              <w:t xml:space="preserve">4.4.3, transferability</w:t>
            </w:r>
          </w:p>
        </w:tc>
        <w:tc>
          <w:tcPr/>
          <w:p>
            <w:pPr>
              <w:pStyle w:val="Compact"/>
              <w:jc w:val="left"/>
            </w:pPr>
            <w:r>
              <w:rPr>
                <w:color w:val="7030A0"/>
                <w:sz w:val="18"/>
              </w:rPr>
              <w:t xml:space="preserve">…renewable energy infrastructure investments during Germany’s energy transition similarly reflect national technological development and government incentives (Kappner et al., 2023)…</w:t>
            </w:r>
          </w:p>
        </w:tc>
      </w:tr>
      <w:tr>
        <w:tc>
          <w:tcPr/>
          <w:p>
            <w:pPr>
              <w:pStyle w:val="Compact"/>
              <w:jc w:val="left"/>
            </w:pPr>
            <w:r>
              <w:rPr>
                <w:color w:val="7030A0"/>
                <w:sz w:val="18"/>
              </w:rPr>
              <w:t xml:space="preserve">4.6, contributions</w:t>
            </w:r>
          </w:p>
        </w:tc>
        <w:tc>
          <w:tcPr/>
          <w:p>
            <w:pPr>
              <w:pStyle w:val="Compact"/>
              <w:jc w:val="left"/>
            </w:pPr>
            <w:r>
              <w:rPr>
                <w:color w:val="7030A0"/>
                <w:sz w:val="18"/>
              </w:rPr>
              <w:t xml:space="preserve">…with the technology development level and technological innovation capacity acting as mediators. Second, the study introduces a measurement model for quantifying the national technology development level and technological innovation capacity in transport infrastructure and port infrastructure.</w:t>
            </w:r>
          </w:p>
        </w:tc>
      </w:tr>
      <w:tr>
        <w:tc>
          <w:tcPr/>
          <w:p>
            <w:pPr>
              <w:pStyle w:val="Compact"/>
              <w:jc w:val="left"/>
            </w:pPr>
            <w:r>
              <w:rPr>
                <w:color w:val="7030A0"/>
                <w:sz w:val="18"/>
              </w:rPr>
              <w:t xml:space="preserve">4.6, contributions</w:t>
            </w:r>
          </w:p>
        </w:tc>
        <w:tc>
          <w:tcPr/>
          <w:p>
            <w:pPr>
              <w:pStyle w:val="Compact"/>
              <w:jc w:val="left"/>
            </w:pPr>
            <w:r>
              <w:rPr>
                <w:color w:val="7030A0"/>
                <w:sz w:val="18"/>
              </w:rPr>
              <w:t xml:space="preserve">…financial and policy support in raising the technology development level and advancing the transport industry. … provide funds and credit to raise the technology development level from either regulatory or financial aspects…</w:t>
            </w:r>
          </w:p>
        </w:tc>
      </w:tr>
    </w:tbl>
    <w:bookmarkEnd w:id="24"/>
    <w:bookmarkStart w:id="25" w:name="b5.-section-4.5-port-case"/>
    <w:p>
      <w:pPr>
        <w:pStyle w:val="Heading2"/>
      </w:pPr>
      <w:r>
        <w:t xml:space="preserve">B5. Section 4.5: port case</w:t>
      </w:r>
    </w:p>
    <w:p>
      <w:pPr>
        <w:pStyle w:val="BlockText"/>
      </w:pPr>
      <w:r>
        <w:rPr>
          <w:iCs/>
          <w:i/>
          <w:color w:val="606060"/>
        </w:rPr>
        <w:t xml:space="preserve">In the port model, the construct is technological innovation capacity, so the port-case text should refer to that construct, not to technology capability. Change the abbreviation TC to TIC in Tables 13 and 14 and Figure 7.</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Revised sentence</w:t>
            </w:r>
          </w:p>
        </w:tc>
      </w:tr>
      <w:tr>
        <w:tc>
          <w:tcPr/>
          <w:p>
            <w:pPr>
              <w:pStyle w:val="Compact"/>
              <w:jc w:val="left"/>
            </w:pPr>
            <w:r>
              <w:rPr>
                <w:color w:val="7030A0"/>
                <w:sz w:val="18"/>
              </w:rPr>
              <w:t xml:space="preserve">4.5.1, hypotheses on GI</w:t>
            </w:r>
          </w:p>
        </w:tc>
        <w:tc>
          <w:tcPr/>
          <w:p>
            <w:pPr>
              <w:pStyle w:val="Compact"/>
              <w:jc w:val="left"/>
            </w:pPr>
            <w:r>
              <w:rPr>
                <w:color w:val="7030A0"/>
                <w:sz w:val="18"/>
              </w:rPr>
              <w:t xml:space="preserve">These two sectors are related to each other, and government incentives may not only directly affect the technological innovation capacity of a country but also encourage the formation of a good R&amp;D environment (Lyasnikov et al., 2014).</w:t>
            </w:r>
          </w:p>
        </w:tc>
      </w:tr>
      <w:tr>
        <w:tc>
          <w:tcPr/>
          <w:p>
            <w:pPr>
              <w:pStyle w:val="Compact"/>
              <w:jc w:val="left"/>
            </w:pPr>
            <w:r>
              <w:rPr>
                <w:color w:val="7030A0"/>
                <w:sz w:val="18"/>
              </w:rPr>
              <w:t xml:space="preserve">4.5.1, hypothesis on TIC</w:t>
            </w:r>
          </w:p>
        </w:tc>
        <w:tc>
          <w:tcPr/>
          <w:p>
            <w:pPr>
              <w:pStyle w:val="Compact"/>
              <w:jc w:val="left"/>
            </w:pPr>
            <w:r>
              <w:rPr>
                <w:color w:val="7030A0"/>
                <w:sz w:val="18"/>
              </w:rPr>
              <w:t xml:space="preserve">Organisations’ prior knowledge and absorptive capacity facilitate the adoption of new technologies (Cohen &amp; Levinthal, 1990; Nieto &amp; Quevedo, 2005). Based on technology-push theory, a strong technological innovation capacity is important for the industry to adopt new technologies.</w:t>
            </w:r>
          </w:p>
        </w:tc>
      </w:tr>
      <w:tr>
        <w:tc>
          <w:tcPr/>
          <w:p>
            <w:pPr>
              <w:pStyle w:val="Compact"/>
              <w:jc w:val="left"/>
            </w:pPr>
            <w:r>
              <w:rPr>
                <w:color w:val="7030A0"/>
                <w:sz w:val="18"/>
              </w:rPr>
              <w:t xml:space="preserve">4.5.2, variables</w:t>
            </w:r>
          </w:p>
        </w:tc>
        <w:tc>
          <w:tcPr/>
          <w:p>
            <w:pPr>
              <w:pStyle w:val="Compact"/>
              <w:jc w:val="left"/>
            </w:pPr>
            <w:r>
              <w:rPr>
                <w:color w:val="7030A0"/>
                <w:sz w:val="18"/>
              </w:rPr>
              <w:t xml:space="preserve">To maintain a parsimonious model, national innovation input and the technology development level are combined here into a single factor, technological innovation capacity (TIC). The construct follows the concept of national innovative capacity, the ability of a country to produce and commercialise a flow of innovative technology over the long term (Furman et al., 2002), and previous research on measuring the technological innovation capacity of countries.</w:t>
            </w:r>
          </w:p>
        </w:tc>
      </w:tr>
    </w:tbl>
    <w:p>
      <w:pPr>
        <w:pStyle w:val="BlockText"/>
      </w:pPr>
      <w:r>
        <w:rPr>
          <w:iCs/>
          <w:i/>
          <w:color w:val="606060"/>
        </w:rPr>
        <w:t xml:space="preserve">Lyasnikov et al. (2014) is published in Life Science Journal, a general science journal outside the usual transport and innovation outlets. It is not wrong to keep it, but please check how your institution views that journal; Samara et al. (2012, Technovation) would be a stronger source for the role of innovation policy in the national innovation system.</w:t>
      </w:r>
    </w:p>
    <w:bookmarkEnd w:id="25"/>
    <w:bookmarkEnd w:id="26"/>
    <w:bookmarkStart w:id="27" w:name="c.-chapters-1-and-7"/>
    <w:p>
      <w:pPr>
        <w:pStyle w:val="Heading1"/>
      </w:pPr>
      <w:r>
        <w:t xml:space="preserve">C. CHAPTERS 1 AND 7</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Revised sentence</w:t>
            </w:r>
          </w:p>
        </w:tc>
      </w:tr>
      <w:tr>
        <w:tc>
          <w:tcPr/>
          <w:p>
            <w:pPr>
              <w:pStyle w:val="Compact"/>
              <w:jc w:val="left"/>
            </w:pPr>
            <w:r>
              <w:rPr>
                <w:color w:val="7030A0"/>
                <w:sz w:val="18"/>
              </w:rPr>
              <w:t xml:space="preserve">1.2, Objective 2</w:t>
            </w:r>
          </w:p>
        </w:tc>
        <w:tc>
          <w:tcPr/>
          <w:p>
            <w:pPr>
              <w:pStyle w:val="Compact"/>
              <w:jc w:val="left"/>
            </w:pPr>
            <w:r>
              <w:rPr>
                <w:color w:val="7030A0"/>
                <w:sz w:val="18"/>
              </w:rPr>
              <w:t xml:space="preserve">…with particular emphasis on the mediating role of the technology development level in linking innovation inputs, government incentives and participation levels.</w:t>
            </w:r>
          </w:p>
        </w:tc>
      </w:tr>
      <w:tr>
        <w:tc>
          <w:tcPr/>
          <w:p>
            <w:pPr>
              <w:pStyle w:val="Compact"/>
              <w:jc w:val="left"/>
            </w:pPr>
            <w:r>
              <w:rPr>
                <w:color w:val="7030A0"/>
                <w:sz w:val="18"/>
              </w:rPr>
              <w:t xml:space="preserve">1.3 or 1.4, research process</w:t>
            </w:r>
          </w:p>
        </w:tc>
        <w:tc>
          <w:tcPr/>
          <w:p>
            <w:pPr>
              <w:pStyle w:val="Compact"/>
              <w:jc w:val="left"/>
            </w:pPr>
            <w:r>
              <w:rPr>
                <w:color w:val="7030A0"/>
                <w:sz w:val="18"/>
              </w:rPr>
              <w:t xml:space="preserve">The second stage (Study 2) focused on the macro national-level analysis of infrastructure and the technology development level.</w:t>
            </w:r>
          </w:p>
        </w:tc>
      </w:tr>
      <w:tr>
        <w:tc>
          <w:tcPr/>
          <w:p>
            <w:pPr>
              <w:pStyle w:val="Compact"/>
              <w:jc w:val="left"/>
            </w:pPr>
            <w:r>
              <w:rPr>
                <w:color w:val="7030A0"/>
                <w:sz w:val="18"/>
              </w:rPr>
              <w:t xml:space="preserve">1.5 (now 1.6), significance</w:t>
            </w:r>
          </w:p>
        </w:tc>
        <w:tc>
          <w:tcPr/>
          <w:p>
            <w:pPr>
              <w:pStyle w:val="Compact"/>
              <w:jc w:val="left"/>
            </w:pPr>
            <w:r>
              <w:rPr>
                <w:color w:val="7030A0"/>
                <w:sz w:val="18"/>
              </w:rPr>
              <w:t xml:space="preserve">Second, it empirically examines how government incentives, innovation input and the technology development level are associated with participation in transport infrastructure and port technology projects.</w:t>
            </w:r>
          </w:p>
        </w:tc>
      </w:tr>
      <w:tr>
        <w:tc>
          <w:tcPr/>
          <w:p>
            <w:pPr>
              <w:pStyle w:val="Compact"/>
              <w:jc w:val="left"/>
            </w:pPr>
            <w:r>
              <w:rPr>
                <w:color w:val="7030A0"/>
                <w:sz w:val="18"/>
              </w:rPr>
              <w:t xml:space="preserve">1.5 (now 1.6), practical implications</w:t>
            </w:r>
          </w:p>
        </w:tc>
        <w:tc>
          <w:tcPr/>
          <w:p>
            <w:pPr>
              <w:pStyle w:val="Compact"/>
              <w:jc w:val="left"/>
            </w:pPr>
            <w:r>
              <w:rPr>
                <w:color w:val="7030A0"/>
                <w:sz w:val="18"/>
              </w:rPr>
              <w:t xml:space="preserve">…are positively associated with the national technology development level, which is in turn associated with stakeholder participation in technology projects.</w:t>
            </w:r>
          </w:p>
        </w:tc>
      </w:tr>
      <w:tr>
        <w:tc>
          <w:tcPr/>
          <w:p>
            <w:pPr>
              <w:pStyle w:val="Compact"/>
              <w:jc w:val="left"/>
            </w:pPr>
            <w:r>
              <w:rPr>
                <w:color w:val="7030A0"/>
                <w:sz w:val="18"/>
              </w:rPr>
              <w:t xml:space="preserve">1.6 (now 1.7), thesis structure</w:t>
            </w:r>
          </w:p>
        </w:tc>
        <w:tc>
          <w:tcPr/>
          <w:p>
            <w:pPr>
              <w:pStyle w:val="Compact"/>
              <w:jc w:val="left"/>
            </w:pPr>
            <w:r>
              <w:rPr>
                <w:color w:val="7030A0"/>
                <w:sz w:val="18"/>
              </w:rPr>
              <w:t xml:space="preserve">It focuses on how factors such as government incentives, innovation inputs and the technology development level are associated with willingness to participate in technological development initiatives.</w:t>
            </w:r>
          </w:p>
        </w:tc>
      </w:tr>
      <w:tr>
        <w:tc>
          <w:tcPr/>
          <w:p>
            <w:pPr>
              <w:pStyle w:val="Compact"/>
              <w:jc w:val="left"/>
            </w:pPr>
            <w:r>
              <w:rPr>
                <w:color w:val="7030A0"/>
                <w:sz w:val="18"/>
              </w:rPr>
              <w:t xml:space="preserve">7.1.1, Chapter 4 summary</w:t>
            </w:r>
          </w:p>
        </w:tc>
        <w:tc>
          <w:tcPr/>
          <w:p>
            <w:pPr>
              <w:pStyle w:val="Compact"/>
              <w:jc w:val="left"/>
            </w:pPr>
            <w:r>
              <w:rPr>
                <w:color w:val="7030A0"/>
                <w:sz w:val="18"/>
              </w:rPr>
              <w:t xml:space="preserve">…the impact of three key enablers, namely the technology development level, innovation input and government incentives, on the level of stakeholder participation…</w:t>
            </w:r>
          </w:p>
        </w:tc>
      </w:tr>
      <w:tr>
        <w:tc>
          <w:tcPr/>
          <w:p>
            <w:pPr>
              <w:pStyle w:val="Compact"/>
              <w:jc w:val="left"/>
            </w:pPr>
            <w:r>
              <w:rPr>
                <w:color w:val="7030A0"/>
                <w:sz w:val="18"/>
              </w:rPr>
              <w:t xml:space="preserve">7.1.1, Chapter 4 findings</w:t>
            </w:r>
          </w:p>
        </w:tc>
        <w:tc>
          <w:tcPr/>
          <w:p>
            <w:pPr>
              <w:pStyle w:val="Compact"/>
              <w:jc w:val="left"/>
            </w:pPr>
            <w:r>
              <w:rPr>
                <w:color w:val="7030A0"/>
                <w:sz w:val="18"/>
              </w:rPr>
              <w:t xml:space="preserve">The findings show that the national technology development level has a direct positive relationship with stakeholder participation and mediates the indirect effects of innovation input and government incentives. High government support and sustained innovation efforts are associated with a higher technology development level, which is in turn associated with a higher level of participation…</w:t>
            </w:r>
          </w:p>
        </w:tc>
      </w:tr>
      <w:tr>
        <w:tc>
          <w:tcPr/>
          <w:p>
            <w:pPr>
              <w:pStyle w:val="Compact"/>
              <w:jc w:val="left"/>
            </w:pPr>
            <w:r>
              <w:rPr>
                <w:color w:val="7030A0"/>
                <w:sz w:val="18"/>
              </w:rPr>
              <w:t xml:space="preserve">7.1.2, Singapore</w:t>
            </w:r>
          </w:p>
        </w:tc>
        <w:tc>
          <w:tcPr/>
          <w:p>
            <w:pPr>
              <w:pStyle w:val="Compact"/>
              <w:jc w:val="left"/>
            </w:pPr>
            <w:r>
              <w:rPr>
                <w:color w:val="7030A0"/>
                <w:sz w:val="18"/>
              </w:rPr>
              <w:t xml:space="preserve">The structural models show that government incentives, innovation inputs and the technology development level are together associated with stakeholder participation… (1) expanding R&amp;D tax incentives and direct funding mechanisms such as the Maritime GreenFuture Fund to raise the national technology development level in maritime fields (MPA Singapore, 2021, 2025)…</w:t>
            </w:r>
          </w:p>
        </w:tc>
      </w:tr>
      <w:tr>
        <w:tc>
          <w:tcPr/>
          <w:p>
            <w:pPr>
              <w:pStyle w:val="Compact"/>
              <w:jc w:val="left"/>
            </w:pPr>
            <w:r>
              <w:rPr>
                <w:color w:val="7030A0"/>
                <w:sz w:val="18"/>
              </w:rPr>
              <w:t xml:space="preserve">7.2 (now 7.3), contributions</w:t>
            </w:r>
          </w:p>
        </w:tc>
        <w:tc>
          <w:tcPr/>
          <w:p>
            <w:pPr>
              <w:pStyle w:val="Compact"/>
              <w:jc w:val="left"/>
            </w:pPr>
            <w:r>
              <w:rPr>
                <w:color w:val="7030A0"/>
                <w:sz w:val="18"/>
              </w:rPr>
              <w:t xml:space="preserve">Findings on the importance of government incentives, the technology development level and institutional quality provide practical guidance…</w:t>
            </w:r>
          </w:p>
        </w:tc>
      </w:tr>
    </w:tbl>
    <w:p>
      <w:pPr>
        <w:pStyle w:val="BlockText"/>
      </w:pPr>
      <w:r>
        <w:rPr>
          <w:iCs/>
          <w:i/>
          <w:color w:val="606060"/>
        </w:rPr>
        <w:t xml:space="preserve">The final sentence of the contributions section (</w:t>
      </w:r>
      <w:r>
        <w:rPr>
          <w:iCs/>
          <w:i/>
          <w:color w:val="606060"/>
        </w:rPr>
        <w:t xml:space="preserve">“</w:t>
      </w:r>
      <w:r>
        <w:rPr>
          <w:iCs/>
          <w:i/>
          <w:color w:val="606060"/>
        </w:rPr>
        <w:t xml:space="preserve">…stakeholders seeking to enhance technological capability…</w:t>
      </w:r>
      <w:r>
        <w:rPr>
          <w:iCs/>
          <w:i/>
          <w:color w:val="606060"/>
        </w:rPr>
        <w:t xml:space="preserve">”</w:t>
      </w:r>
      <w:r>
        <w:rPr>
          <w:iCs/>
          <w:i/>
          <w:color w:val="606060"/>
        </w:rPr>
        <w:t xml:space="preserve">) uses</w:t>
      </w:r>
      <w:r>
        <w:rPr>
          <w:iCs/>
          <w:i/>
          <w:color w:val="606060"/>
        </w:rPr>
        <w:t xml:space="preserve"> </w:t>
      </w:r>
      <w:r>
        <w:rPr>
          <w:iCs/>
          <w:i/>
          <w:color w:val="606060"/>
        </w:rPr>
        <w:t xml:space="preserve">“</w:t>
      </w:r>
      <w:r>
        <w:rPr>
          <w:iCs/>
          <w:i/>
          <w:color w:val="606060"/>
        </w:rPr>
        <w:t xml:space="preserve">capability</w:t>
      </w:r>
      <w:r>
        <w:rPr>
          <w:iCs/>
          <w:i/>
          <w:color w:val="606060"/>
        </w:rPr>
        <w:t xml:space="preserve">”</w:t>
      </w:r>
      <w:r>
        <w:rPr>
          <w:iCs/>
          <w:i/>
          <w:color w:val="606060"/>
        </w:rPr>
        <w:t xml:space="preserve"> </w:t>
      </w:r>
      <w:r>
        <w:rPr>
          <w:iCs/>
          <w:i/>
          <w:color w:val="606060"/>
        </w:rPr>
        <w:t xml:space="preserve">in its general sense and can stay. The Summary uses</w:t>
      </w:r>
      <w:r>
        <w:rPr>
          <w:iCs/>
          <w:i/>
          <w:color w:val="606060"/>
        </w:rPr>
        <w:t xml:space="preserve"> </w:t>
      </w:r>
      <w:r>
        <w:rPr>
          <w:iCs/>
          <w:i/>
          <w:color w:val="606060"/>
        </w:rPr>
        <w:t xml:space="preserve">“</w:t>
      </w:r>
      <w:r>
        <w:rPr>
          <w:iCs/>
          <w:i/>
          <w:color w:val="606060"/>
        </w:rPr>
        <w:t xml:space="preserve">innovation capability</w:t>
      </w:r>
      <w:r>
        <w:rPr>
          <w:iCs/>
          <w:i/>
          <w:color w:val="606060"/>
        </w:rPr>
        <w:t xml:space="preserve">”</w:t>
      </w:r>
      <w:r>
        <w:rPr>
          <w:iCs/>
          <w:i/>
          <w:color w:val="606060"/>
        </w:rPr>
        <w:t xml:space="preserve"> </w:t>
      </w:r>
      <w:r>
        <w:rPr>
          <w:iCs/>
          <w:i/>
          <w:color w:val="606060"/>
        </w:rPr>
        <w:t xml:space="preserve">in the same general sense and needs no change. In Chapter 2, keep</w:t>
      </w:r>
      <w:r>
        <w:rPr>
          <w:iCs/>
          <w:i/>
          <w:color w:val="606060"/>
        </w:rPr>
        <w:t xml:space="preserve"> </w:t>
      </w:r>
      <w:r>
        <w:rPr>
          <w:iCs/>
          <w:i/>
          <w:color w:val="606060"/>
        </w:rPr>
        <w:t xml:space="preserve">“</w:t>
      </w:r>
      <w:r>
        <w:rPr>
          <w:iCs/>
          <w:i/>
          <w:color w:val="606060"/>
        </w:rPr>
        <w:t xml:space="preserve">Technology capability index</w:t>
      </w:r>
      <w:r>
        <w:rPr>
          <w:iCs/>
          <w:i/>
          <w:color w:val="606060"/>
        </w:rPr>
        <w:t xml:space="preserve">”</w:t>
      </w:r>
      <w:r>
        <w:rPr>
          <w:iCs/>
          <w:i/>
          <w:color w:val="606060"/>
        </w:rPr>
        <w:t xml:space="preserve"> </w:t>
      </w:r>
      <w:r>
        <w:rPr>
          <w:iCs/>
          <w:i/>
          <w:color w:val="606060"/>
        </w:rPr>
        <w:t xml:space="preserve">in Table 2 (Khayyat &amp; Lee, 2015), because that is the name of their index, and keep the sentence on Archibugi and Coco (2005) in Section 2.2, because it reports their own use of the term.</w:t>
      </w:r>
    </w:p>
    <w:bookmarkEnd w:id="27"/>
    <w:bookmarkStart w:id="28" w:name="X0ed1d293dfc112e2cceeaba6f4e82bd54a36d61"/>
    <w:p>
      <w:pPr>
        <w:pStyle w:val="Heading1"/>
      </w:pPr>
      <w:r>
        <w:t xml:space="preserve">D. CONSISTENCY WITH THE OTHER REVISION FILES</w:t>
      </w:r>
    </w:p>
    <w:p>
      <w:pPr>
        <w:pStyle w:val="BlockText"/>
      </w:pPr>
      <w:r>
        <w:rPr>
          <w:iCs/>
          <w:i/>
          <w:color w:val="606060"/>
        </w:rPr>
        <w:t xml:space="preserve">I have updated files 01, 02, 03 and 05 to use the new name: the Chapter 4 description in Section 1.4, the synthesis paragraph and the first shared mechanism in Section 7.2.1, Sections 7.2.2 and 7.2.3, Tables [new-3] and [new-4], the 2.4 gaps and Table [new-2.1], and the optional PT3 sentence. The shared mechanism in Section 7.2.1 keeps the name</w:t>
      </w:r>
      <w:r>
        <w:rPr>
          <w:iCs/>
          <w:i/>
          <w:color w:val="606060"/>
        </w:rPr>
        <w:t xml:space="preserve"> </w:t>
      </w:r>
      <w:r>
        <w:rPr>
          <w:iCs/>
          <w:i/>
          <w:color w:val="606060"/>
        </w:rPr>
        <w:t xml:space="preserve">“</w:t>
      </w:r>
      <w:r>
        <w:rPr>
          <w:iCs/>
          <w:i/>
          <w:color w:val="606060"/>
        </w:rPr>
        <w:t xml:space="preserve">technological capability</w:t>
      </w:r>
      <w:r>
        <w:rPr>
          <w:iCs/>
          <w:i/>
          <w:color w:val="606060"/>
        </w:rPr>
        <w:t xml:space="preserve">”</w:t>
      </w:r>
      <w:r>
        <w:rPr>
          <w:iCs/>
          <w:i/>
          <w:color w:val="606060"/>
        </w:rPr>
        <w:t xml:space="preserve">, because it refers to capability in the general sense across all three studies. The Chapter 4 evidence for it is now described as the national technology development level, which reflects what national capabilities have achieved.</w:t>
      </w:r>
    </w:p>
    <w:bookmarkEnd w:id="28"/>
    <w:bookmarkStart w:id="29" w:name="e.-reference-changes"/>
    <w:p>
      <w:pPr>
        <w:pStyle w:val="Heading1"/>
      </w:pPr>
      <w:r>
        <w:t xml:space="preserve">E. REFERENCE CHANGES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color w:val="7030A0"/>
                <w:sz w:val="18"/>
              </w:rPr>
              <w:t xml:space="preserve">Reference</w:t>
            </w:r>
          </w:p>
        </w:tc>
        <w:tc>
          <w:tcPr/>
          <w:p>
            <w:pPr>
              <w:pStyle w:val="Compact"/>
              <w:jc w:val="left"/>
            </w:pPr>
            <w:r>
              <w:rPr>
                <w:color w:val="7030A0"/>
                <w:sz w:val="18"/>
              </w:rPr>
              <w:t xml:space="preserve">Change</w:t>
            </w:r>
          </w:p>
        </w:tc>
        <w:tc>
          <w:tcPr/>
          <w:p>
            <w:pPr>
              <w:pStyle w:val="Compact"/>
              <w:jc w:val="left"/>
            </w:pPr>
            <w:r>
              <w:rPr>
                <w:color w:val="7030A0"/>
                <w:sz w:val="18"/>
              </w:rPr>
              <w:t xml:space="preserve">What it now supports</w:t>
            </w:r>
          </w:p>
        </w:tc>
      </w:tr>
      <w:tr>
        <w:tc>
          <w:tcPr/>
          <w:p>
            <w:pPr>
              <w:pStyle w:val="Compact"/>
              <w:jc w:val="left"/>
            </w:pPr>
            <w:r>
              <w:rPr>
                <w:color w:val="7030A0"/>
                <w:sz w:val="18"/>
              </w:rPr>
              <w:t xml:space="preserve">Archibugi &amp; Coco (2005) †</w:t>
            </w:r>
          </w:p>
        </w:tc>
        <w:tc>
          <w:tcPr/>
          <w:p>
            <w:pPr>
              <w:pStyle w:val="Compact"/>
              <w:jc w:val="left"/>
            </w:pPr>
            <w:r>
              <w:rPr>
                <w:color w:val="7030A0"/>
                <w:sz w:val="18"/>
              </w:rPr>
              <w:t xml:space="preserve">Kept, reworded</w:t>
            </w:r>
          </w:p>
        </w:tc>
        <w:tc>
          <w:tcPr/>
          <w:p>
            <w:pPr>
              <w:pStyle w:val="Compact"/>
              <w:jc w:val="left"/>
            </w:pPr>
            <w:r>
              <w:rPr>
                <w:color w:val="7030A0"/>
                <w:sz w:val="18"/>
              </w:rPr>
              <w:t xml:space="preserve">Country comparisons rely on observable indicators combined into indices</w:t>
            </w:r>
          </w:p>
        </w:tc>
      </w:tr>
      <w:tr>
        <w:tc>
          <w:tcPr/>
          <w:p>
            <w:pPr>
              <w:pStyle w:val="Compact"/>
              <w:jc w:val="left"/>
            </w:pPr>
            <w:r>
              <w:rPr>
                <w:color w:val="7030A0"/>
                <w:sz w:val="18"/>
              </w:rPr>
              <w:t xml:space="preserve">Yeon et al. (2021) †</w:t>
            </w:r>
          </w:p>
        </w:tc>
        <w:tc>
          <w:tcPr/>
          <w:p>
            <w:pPr>
              <w:pStyle w:val="Compact"/>
              <w:jc w:val="left"/>
            </w:pPr>
            <w:r>
              <w:rPr>
                <w:color w:val="7030A0"/>
                <w:sz w:val="18"/>
              </w:rPr>
              <w:t xml:space="preserve">Kept, reworded</w:t>
            </w:r>
          </w:p>
        </w:tc>
        <w:tc>
          <w:tcPr/>
          <w:p>
            <w:pPr>
              <w:pStyle w:val="Compact"/>
              <w:jc w:val="left"/>
            </w:pPr>
            <w:r>
              <w:rPr>
                <w:color w:val="7030A0"/>
                <w:sz w:val="18"/>
              </w:rPr>
              <w:t xml:space="preserve">Capability as an ability (concept design and implementation capability); removed from the</w:t>
            </w:r>
            <w:r>
              <w:rPr>
                <w:color w:val="7030A0"/>
                <w:sz w:val="18"/>
              </w:rPr>
              <w:t xml:space="preserve"> </w:t>
            </w:r>
            <w:r>
              <w:rPr>
                <w:color w:val="7030A0"/>
                <w:sz w:val="18"/>
              </w:rPr>
              <w:t xml:space="preserve">“</w:t>
            </w:r>
            <w:r>
              <w:rPr>
                <w:color w:val="7030A0"/>
                <w:sz w:val="18"/>
              </w:rPr>
              <w:t xml:space="preserve">micro-level studies</w:t>
            </w:r>
            <w:r>
              <w:rPr>
                <w:color w:val="7030A0"/>
                <w:sz w:val="18"/>
              </w:rPr>
              <w:t xml:space="preserve">”</w:t>
            </w:r>
            <w:r>
              <w:rPr>
                <w:color w:val="7030A0"/>
                <w:sz w:val="18"/>
              </w:rPr>
              <w:t xml:space="preserve"> </w:t>
            </w:r>
            <w:r>
              <w:rPr>
                <w:color w:val="7030A0"/>
                <w:sz w:val="18"/>
              </w:rPr>
              <w:t xml:space="preserve">list, because it is a country-level study</w:t>
            </w:r>
          </w:p>
        </w:tc>
      </w:tr>
      <w:tr>
        <w:tc>
          <w:tcPr/>
          <w:p>
            <w:pPr>
              <w:pStyle w:val="Compact"/>
              <w:jc w:val="left"/>
            </w:pPr>
            <w:r>
              <w:rPr>
                <w:color w:val="7030A0"/>
                <w:sz w:val="18"/>
              </w:rPr>
              <w:t xml:space="preserve">Lall (1992) †</w:t>
            </w:r>
          </w:p>
        </w:tc>
        <w:tc>
          <w:tcPr/>
          <w:p>
            <w:pPr>
              <w:pStyle w:val="Compact"/>
              <w:jc w:val="left"/>
            </w:pPr>
            <w:r>
              <w:rPr>
                <w:color w:val="7030A0"/>
                <w:sz w:val="18"/>
              </w:rPr>
              <w:t xml:space="preserve">Newly cited in the definition</w:t>
            </w:r>
          </w:p>
        </w:tc>
        <w:tc>
          <w:tcPr/>
          <w:p>
            <w:pPr>
              <w:pStyle w:val="Compact"/>
              <w:jc w:val="left"/>
            </w:pPr>
            <w:r>
              <w:rPr>
                <w:color w:val="7030A0"/>
                <w:sz w:val="18"/>
              </w:rPr>
              <w:t xml:space="preserve">Capabilities are built up in firms and national economies</w:t>
            </w:r>
          </w:p>
        </w:tc>
      </w:tr>
      <w:tr>
        <w:tc>
          <w:tcPr/>
          <w:p>
            <w:pPr>
              <w:pStyle w:val="Compact"/>
              <w:jc w:val="left"/>
            </w:pPr>
            <w:r>
              <w:rPr>
                <w:color w:val="7030A0"/>
                <w:sz w:val="18"/>
              </w:rPr>
              <w:t xml:space="preserve">Schoenecker &amp; Swanson (2002) †; Wanzenböck et al. (2013) †</w:t>
            </w:r>
          </w:p>
        </w:tc>
        <w:tc>
          <w:tcPr/>
          <w:p>
            <w:pPr>
              <w:pStyle w:val="Compact"/>
              <w:jc w:val="left"/>
            </w:pPr>
            <w:r>
              <w:rPr>
                <w:color w:val="7030A0"/>
                <w:sz w:val="18"/>
              </w:rPr>
              <w:t xml:space="preserve">Kept</w:t>
            </w:r>
          </w:p>
        </w:tc>
        <w:tc>
          <w:tcPr/>
          <w:p>
            <w:pPr>
              <w:pStyle w:val="Compact"/>
              <w:jc w:val="left"/>
            </w:pPr>
            <w:r>
              <w:rPr>
                <w:color w:val="7030A0"/>
                <w:sz w:val="18"/>
              </w:rPr>
              <w:t xml:space="preserve">Firm-level capabilities and firm characteristics</w:t>
            </w:r>
          </w:p>
        </w:tc>
      </w:tr>
      <w:tr>
        <w:tc>
          <w:tcPr/>
          <w:p>
            <w:pPr>
              <w:pStyle w:val="Compact"/>
              <w:jc w:val="left"/>
            </w:pPr>
            <w:r>
              <w:rPr>
                <w:color w:val="7030A0"/>
                <w:sz w:val="18"/>
              </w:rPr>
              <w:t xml:space="preserve">Tavassoli (2018) †</w:t>
            </w:r>
          </w:p>
        </w:tc>
        <w:tc>
          <w:tcPr/>
          <w:p>
            <w:pPr>
              <w:pStyle w:val="Compact"/>
              <w:jc w:val="left"/>
            </w:pPr>
            <w:r>
              <w:rPr>
                <w:color w:val="7030A0"/>
                <w:sz w:val="18"/>
              </w:rPr>
              <w:t xml:space="preserve">Kept, reworded</w:t>
            </w:r>
          </w:p>
        </w:tc>
        <w:tc>
          <w:tcPr/>
          <w:p>
            <w:pPr>
              <w:pStyle w:val="Compact"/>
              <w:jc w:val="left"/>
            </w:pPr>
            <w:r>
              <w:rPr>
                <w:color w:val="7030A0"/>
                <w:sz w:val="18"/>
              </w:rPr>
              <w:t xml:space="preserve">Exports depend on innovation outputs, not inputs</w:t>
            </w:r>
          </w:p>
        </w:tc>
      </w:tr>
      <w:tr>
        <w:tc>
          <w:tcPr/>
          <w:p>
            <w:pPr>
              <w:pStyle w:val="Compact"/>
              <w:jc w:val="left"/>
            </w:pPr>
            <w:r>
              <w:rPr>
                <w:color w:val="7030A0"/>
                <w:sz w:val="18"/>
              </w:rPr>
              <w:t xml:space="preserve">Caerteling et al. (2008) †; Guan &amp; Yam (2015) †</w:t>
            </w:r>
          </w:p>
        </w:tc>
        <w:tc>
          <w:tcPr/>
          <w:p>
            <w:pPr>
              <w:pStyle w:val="Compact"/>
              <w:jc w:val="left"/>
            </w:pPr>
            <w:r>
              <w:rPr>
                <w:color w:val="7030A0"/>
                <w:sz w:val="18"/>
              </w:rPr>
              <w:t xml:space="preserve">Kept</w:t>
            </w:r>
          </w:p>
        </w:tc>
        <w:tc>
          <w:tcPr/>
          <w:p>
            <w:pPr>
              <w:pStyle w:val="Compact"/>
              <w:jc w:val="left"/>
            </w:pPr>
            <w:r>
              <w:rPr>
                <w:color w:val="7030A0"/>
                <w:sz w:val="18"/>
              </w:rPr>
              <w:t xml:space="preserve">Government roles; effects of incentives on patents</w:t>
            </w:r>
          </w:p>
        </w:tc>
      </w:tr>
      <w:tr>
        <w:tc>
          <w:tcPr/>
          <w:p>
            <w:pPr>
              <w:pStyle w:val="Compact"/>
              <w:jc w:val="left"/>
            </w:pPr>
            <w:r>
              <w:rPr>
                <w:color w:val="7030A0"/>
                <w:sz w:val="18"/>
              </w:rPr>
              <w:t xml:space="preserve">Yigitcanlar et al. (2019) †</w:t>
            </w:r>
          </w:p>
        </w:tc>
        <w:tc>
          <w:tcPr/>
          <w:p>
            <w:pPr>
              <w:pStyle w:val="Compact"/>
              <w:jc w:val="left"/>
            </w:pPr>
            <w:r>
              <w:rPr>
                <w:color w:val="7030A0"/>
                <w:sz w:val="18"/>
              </w:rPr>
              <w:t xml:space="preserve">Kept, reworded</w:t>
            </w:r>
          </w:p>
        </w:tc>
        <w:tc>
          <w:tcPr/>
          <w:p>
            <w:pPr>
              <w:pStyle w:val="Compact"/>
              <w:jc w:val="left"/>
            </w:pPr>
            <w:r>
              <w:rPr>
                <w:color w:val="7030A0"/>
                <w:sz w:val="18"/>
              </w:rPr>
              <w:t xml:space="preserve">Incentives improve firms’ innovation capabilities</w:t>
            </w:r>
          </w:p>
        </w:tc>
      </w:tr>
      <w:tr>
        <w:tc>
          <w:tcPr/>
          <w:p>
            <w:pPr>
              <w:pStyle w:val="Compact"/>
              <w:jc w:val="left"/>
            </w:pPr>
            <w:r>
              <w:rPr>
                <w:color w:val="7030A0"/>
                <w:sz w:val="18"/>
              </w:rPr>
              <w:t xml:space="preserve">Sultana &amp; Turkina (2020) †</w:t>
            </w:r>
          </w:p>
        </w:tc>
        <w:tc>
          <w:tcPr/>
          <w:p>
            <w:pPr>
              <w:pStyle w:val="Compact"/>
              <w:jc w:val="left"/>
            </w:pPr>
            <w:r>
              <w:rPr>
                <w:color w:val="7030A0"/>
                <w:sz w:val="18"/>
              </w:rPr>
              <w:t xml:space="preserve">Kept, reworded</w:t>
            </w:r>
          </w:p>
        </w:tc>
        <w:tc>
          <w:tcPr/>
          <w:p>
            <w:pPr>
              <w:pStyle w:val="Compact"/>
              <w:jc w:val="left"/>
            </w:pPr>
            <w:r>
              <w:rPr>
                <w:color w:val="7030A0"/>
                <w:sz w:val="18"/>
              </w:rPr>
              <w:t xml:space="preserve">Absorptive capacity strengthens the link between FDI-network position and technology status</w:t>
            </w:r>
          </w:p>
        </w:tc>
      </w:tr>
      <w:tr>
        <w:tc>
          <w:tcPr/>
          <w:p>
            <w:pPr>
              <w:pStyle w:val="Compact"/>
              <w:jc w:val="left"/>
            </w:pPr>
            <w:r>
              <w:rPr>
                <w:color w:val="7030A0"/>
                <w:sz w:val="18"/>
              </w:rPr>
              <w:t xml:space="preserve">Malerba &amp; Orsenigo (1996) †; Nieto &amp; Quevedo (2005) †; Fruth &amp; Teuteberg (2017) †; Samara et al. (2012) †; Kappner et al. (2023) †</w:t>
            </w:r>
          </w:p>
        </w:tc>
        <w:tc>
          <w:tcPr/>
          <w:p>
            <w:pPr>
              <w:pStyle w:val="Compact"/>
              <w:jc w:val="left"/>
            </w:pPr>
            <w:r>
              <w:rPr>
                <w:color w:val="7030A0"/>
                <w:sz w:val="18"/>
              </w:rPr>
              <w:t xml:space="preserve">Kept</w:t>
            </w:r>
          </w:p>
        </w:tc>
        <w:tc>
          <w:tcPr/>
          <w:p>
            <w:pPr>
              <w:pStyle w:val="Compact"/>
              <w:jc w:val="left"/>
            </w:pPr>
            <w:r>
              <w:rPr>
                <w:color w:val="7030A0"/>
                <w:sz w:val="18"/>
              </w:rPr>
              <w:t xml:space="preserve">As in the current text</w:t>
            </w:r>
          </w:p>
        </w:tc>
      </w:tr>
      <w:tr>
        <w:tc>
          <w:tcPr/>
          <w:p>
            <w:pPr>
              <w:pStyle w:val="Compact"/>
              <w:jc w:val="left"/>
            </w:pPr>
            <w:r>
              <w:rPr>
                <w:color w:val="7030A0"/>
                <w:sz w:val="18"/>
              </w:rPr>
              <w:t xml:space="preserve">Moro (2012) †</w:t>
            </w:r>
          </w:p>
        </w:tc>
        <w:tc>
          <w:tcPr/>
          <w:p>
            <w:pPr>
              <w:pStyle w:val="Compact"/>
              <w:jc w:val="left"/>
            </w:pPr>
            <w:r>
              <w:rPr>
                <w:color w:val="7030A0"/>
                <w:sz w:val="18"/>
              </w:rPr>
              <w:t xml:space="preserve">Removed from this paragraph</w:t>
            </w:r>
          </w:p>
        </w:tc>
        <w:tc>
          <w:tcPr/>
          <w:p>
            <w:pPr>
              <w:pStyle w:val="Compact"/>
              <w:jc w:val="left"/>
            </w:pPr>
            <w:r>
              <w:rPr>
                <w:color w:val="7030A0"/>
                <w:sz w:val="18"/>
              </w:rPr>
              <w:t xml:space="preserve">Does not support the value-added claim</w:t>
            </w:r>
          </w:p>
        </w:tc>
      </w:tr>
      <w:tr>
        <w:tc>
          <w:tcPr/>
          <w:p>
            <w:pPr>
              <w:pStyle w:val="Compact"/>
              <w:jc w:val="left"/>
            </w:pPr>
            <w:r>
              <w:rPr>
                <w:color w:val="7030A0"/>
                <w:sz w:val="18"/>
              </w:rPr>
              <w:t xml:space="preserve">Gupta et al. (2020) †</w:t>
            </w:r>
          </w:p>
        </w:tc>
        <w:tc>
          <w:tcPr/>
          <w:p>
            <w:pPr>
              <w:pStyle w:val="Compact"/>
              <w:jc w:val="left"/>
            </w:pPr>
            <w:r>
              <w:rPr>
                <w:color w:val="7030A0"/>
                <w:sz w:val="18"/>
              </w:rPr>
              <w:t xml:space="preserve">Removed from Chapter 4</w:t>
            </w:r>
          </w:p>
        </w:tc>
        <w:tc>
          <w:tcPr/>
          <w:p>
            <w:pPr>
              <w:pStyle w:val="Compact"/>
              <w:jc w:val="left"/>
            </w:pPr>
            <w:r>
              <w:rPr>
                <w:color w:val="7030A0"/>
                <w:sz w:val="18"/>
              </w:rPr>
              <w:t xml:space="preserve">Does not support the capability claim</w:t>
            </w:r>
          </w:p>
        </w:tc>
      </w:tr>
      <w:tr>
        <w:tc>
          <w:tcPr/>
          <w:p>
            <w:pPr>
              <w:pStyle w:val="Compact"/>
              <w:jc w:val="left"/>
            </w:pPr>
            <w:r>
              <w:rPr>
                <w:color w:val="7030A0"/>
                <w:sz w:val="18"/>
              </w:rPr>
              <w:t xml:space="preserve">Desai et al. (2002)</w:t>
            </w:r>
          </w:p>
        </w:tc>
        <w:tc>
          <w:tcPr/>
          <w:p>
            <w:pPr>
              <w:pStyle w:val="Compact"/>
              <w:jc w:val="left"/>
            </w:pPr>
            <w:r>
              <w:rPr>
                <w:color w:val="7030A0"/>
                <w:sz w:val="18"/>
              </w:rPr>
              <w:t xml:space="preserve">Added</w:t>
            </w:r>
          </w:p>
        </w:tc>
        <w:tc>
          <w:tcPr/>
          <w:p>
            <w:pPr>
              <w:pStyle w:val="Compact"/>
              <w:jc w:val="left"/>
            </w:pPr>
            <w:r>
              <w:rPr>
                <w:color w:val="7030A0"/>
                <w:sz w:val="18"/>
              </w:rPr>
              <w:t xml:space="preserve">Technology Achievement Index: achievement-based measurement</w:t>
            </w:r>
          </w:p>
        </w:tc>
      </w:tr>
      <w:tr>
        <w:tc>
          <w:tcPr/>
          <w:p>
            <w:pPr>
              <w:pStyle w:val="Compact"/>
              <w:jc w:val="left"/>
            </w:pPr>
            <w:r>
              <w:rPr>
                <w:color w:val="7030A0"/>
                <w:sz w:val="18"/>
              </w:rPr>
              <w:t xml:space="preserve">Archibugi et al. (2009)</w:t>
            </w:r>
          </w:p>
        </w:tc>
        <w:tc>
          <w:tcPr/>
          <w:p>
            <w:pPr>
              <w:pStyle w:val="Compact"/>
              <w:jc w:val="left"/>
            </w:pPr>
            <w:r>
              <w:rPr>
                <w:color w:val="7030A0"/>
                <w:sz w:val="18"/>
              </w:rPr>
              <w:t xml:space="preserve">Added</w:t>
            </w:r>
          </w:p>
        </w:tc>
        <w:tc>
          <w:tcPr/>
          <w:p>
            <w:pPr>
              <w:pStyle w:val="Compact"/>
              <w:jc w:val="left"/>
            </w:pPr>
            <w:r>
              <w:rPr>
                <w:color w:val="7030A0"/>
                <w:sz w:val="18"/>
              </w:rPr>
              <w:t xml:space="preserve">Review of composite indicators of national technological capability</w:t>
            </w:r>
          </w:p>
        </w:tc>
      </w:tr>
      <w:tr>
        <w:tc>
          <w:tcPr/>
          <w:p>
            <w:pPr>
              <w:pStyle w:val="Compact"/>
              <w:jc w:val="left"/>
            </w:pPr>
            <w:r>
              <w:rPr>
                <w:color w:val="7030A0"/>
                <w:sz w:val="18"/>
              </w:rPr>
              <w:t xml:space="preserve">Furman et al. (2002)</w:t>
            </w:r>
          </w:p>
        </w:tc>
        <w:tc>
          <w:tcPr/>
          <w:p>
            <w:pPr>
              <w:pStyle w:val="Compact"/>
              <w:jc w:val="left"/>
            </w:pPr>
            <w:r>
              <w:rPr>
                <w:color w:val="7030A0"/>
                <w:sz w:val="18"/>
              </w:rPr>
              <w:t xml:space="preserve">Added</w:t>
            </w:r>
          </w:p>
        </w:tc>
        <w:tc>
          <w:tcPr/>
          <w:p>
            <w:pPr>
              <w:pStyle w:val="Compact"/>
              <w:jc w:val="left"/>
            </w:pPr>
            <w:r>
              <w:rPr>
                <w:color w:val="7030A0"/>
                <w:sz w:val="18"/>
              </w:rPr>
              <w:t xml:space="preserve">Patents as innovation output; definition of national innovative capacity (port model)</w:t>
            </w:r>
          </w:p>
        </w:tc>
      </w:tr>
      <w:tr>
        <w:tc>
          <w:tcPr/>
          <w:p>
            <w:pPr>
              <w:pStyle w:val="Compact"/>
              <w:jc w:val="left"/>
            </w:pPr>
            <w:r>
              <w:rPr>
                <w:color w:val="7030A0"/>
                <w:sz w:val="18"/>
              </w:rPr>
              <w:t xml:space="preserve">Cohen &amp; Levinthal (1990)</w:t>
            </w:r>
          </w:p>
        </w:tc>
        <w:tc>
          <w:tcPr/>
          <w:p>
            <w:pPr>
              <w:pStyle w:val="Compact"/>
              <w:jc w:val="left"/>
            </w:pPr>
            <w:r>
              <w:rPr>
                <w:color w:val="7030A0"/>
                <w:sz w:val="18"/>
              </w:rPr>
              <w:t xml:space="preserve">Added (also in file 01)</w:t>
            </w:r>
          </w:p>
        </w:tc>
        <w:tc>
          <w:tcPr/>
          <w:p>
            <w:pPr>
              <w:pStyle w:val="Compact"/>
              <w:jc w:val="left"/>
            </w:pPr>
            <w:r>
              <w:rPr>
                <w:color w:val="7030A0"/>
                <w:sz w:val="18"/>
              </w:rPr>
              <w:t xml:space="preserve">Prior knowledge enables organisations to recognise, assimilate and apply new knowledge</w:t>
            </w:r>
          </w:p>
        </w:tc>
      </w:tr>
      <w:tr>
        <w:tc>
          <w:tcPr/>
          <w:p>
            <w:pPr>
              <w:pStyle w:val="Compact"/>
              <w:jc w:val="left"/>
            </w:pPr>
            <w:r>
              <w:rPr>
                <w:color w:val="7030A0"/>
                <w:sz w:val="18"/>
              </w:rPr>
              <w:t xml:space="preserve">Enger &amp; Castellacci (2016)</w:t>
            </w:r>
          </w:p>
        </w:tc>
        <w:tc>
          <w:tcPr/>
          <w:p>
            <w:pPr>
              <w:pStyle w:val="Compact"/>
              <w:jc w:val="left"/>
            </w:pPr>
            <w:r>
              <w:rPr>
                <w:color w:val="7030A0"/>
                <w:sz w:val="18"/>
              </w:rPr>
              <w:t xml:space="preserve">Added</w:t>
            </w:r>
          </w:p>
        </w:tc>
        <w:tc>
          <w:tcPr/>
          <w:p>
            <w:pPr>
              <w:pStyle w:val="Compact"/>
              <w:jc w:val="left"/>
            </w:pPr>
            <w:r>
              <w:rPr>
                <w:color w:val="7030A0"/>
                <w:sz w:val="18"/>
              </w:rPr>
              <w:t xml:space="preserve">Prior participation and reputation predict success in EU research funding</w:t>
            </w:r>
          </w:p>
        </w:tc>
      </w:tr>
      <w:tr>
        <w:tc>
          <w:tcPr/>
          <w:p>
            <w:pPr>
              <w:pStyle w:val="Compact"/>
              <w:jc w:val="left"/>
            </w:pPr>
            <w:r>
              <w:rPr>
                <w:color w:val="7030A0"/>
                <w:sz w:val="18"/>
              </w:rPr>
              <w:t xml:space="preserve">UNIDO (n.d.)</w:t>
            </w:r>
          </w:p>
        </w:tc>
        <w:tc>
          <w:tcPr/>
          <w:p>
            <w:pPr>
              <w:pStyle w:val="Compact"/>
              <w:jc w:val="left"/>
            </w:pPr>
            <w:r>
              <w:rPr>
                <w:color w:val="7030A0"/>
                <w:sz w:val="18"/>
              </w:rPr>
              <w:t xml:space="preserve">Added</w:t>
            </w:r>
          </w:p>
        </w:tc>
        <w:tc>
          <w:tcPr/>
          <w:p>
            <w:pPr>
              <w:pStyle w:val="Compact"/>
              <w:jc w:val="left"/>
            </w:pPr>
            <w:r>
              <w:rPr>
                <w:color w:val="7030A0"/>
                <w:sz w:val="18"/>
              </w:rPr>
              <w:t xml:space="preserve">Manufacturing value added and medium- and high-tech share as development indicators</w:t>
            </w:r>
          </w:p>
        </w:tc>
      </w:tr>
    </w:tbl>
    <w:p>
      <w:pPr>
        <w:pStyle w:val="BlockText"/>
      </w:pPr>
      <w:r>
        <w:rPr>
          <w:iCs/>
          <w:i/>
          <w:color w:val="606060"/>
        </w:rPr>
        <w:t xml:space="preserve">If Moro (2012) or Gupta et al. (2020) are not cited anywhere else in the thesis after these changes, delete them from the reference list.</w:t>
      </w:r>
    </w:p>
    <w:bookmarkEnd w:id="29"/>
    <w:bookmarkStart w:id="30" w:name="f.-draft-response-to-the-examiner"/>
    <w:p>
      <w:pPr>
        <w:pStyle w:val="Heading1"/>
      </w:pPr>
      <w:r>
        <w:t xml:space="preserve">F. DRAFT RESPONSE TO THE EXAMINER</w:t>
      </w:r>
    </w:p>
    <w:p>
      <w:pPr>
        <w:pStyle w:val="BlockText"/>
      </w:pPr>
      <w:r>
        <w:rPr>
          <w:iCs/>
          <w:i/>
          <w:color w:val="606060"/>
        </w:rPr>
        <w:t xml:space="preserve">To be placed in the Examiner 4 response letter. Page numbers will be added once the revised thesis is paginated.</w:t>
      </w:r>
    </w:p>
    <w:p>
      <w:pPr>
        <w:pStyle w:val="FirstParagraph"/>
      </w:pPr>
      <w:r>
        <w:rPr>
          <w:color w:val="7030A0"/>
        </w:rPr>
        <w:t xml:space="preserve">We thank the examiner for this suggestion. We agree that the term needed clarification. In the literature, technological capability usually denotes an ability to create, absorb and apply technology, whereas the three indicators of this construct (transport-related patents, medium- and high-technology exports, and value added in transport equipment manufacturing and transport services) measure the level of technology that a country has already achieved. Following the examiner’s suggestion, we have renamed the construct</w:t>
      </w:r>
      <w:r>
        <w:rPr>
          <w:color w:val="7030A0"/>
        </w:rPr>
        <w:t xml:space="preserve"> </w:t>
      </w:r>
      <w:r>
        <w:rPr>
          <w:color w:val="7030A0"/>
        </w:rPr>
        <w:t xml:space="preserve">“</w:t>
      </w:r>
      <w:r>
        <w:rPr>
          <w:color w:val="7030A0"/>
        </w:rPr>
        <w:t xml:space="preserve">technology development level</w:t>
      </w:r>
      <w:r>
        <w:rPr>
          <w:color w:val="7030A0"/>
        </w:rPr>
        <w:t xml:space="preserve">”</w:t>
      </w:r>
      <w:r>
        <w:rPr>
          <w:color w:val="7030A0"/>
        </w:rPr>
        <w:t xml:space="preserve"> </w:t>
      </w:r>
      <w:r>
        <w:rPr>
          <w:color w:val="7030A0"/>
        </w:rPr>
        <w:t xml:space="preserve">(TDL) and redefined it in Section 4.3.1 as the level of technological development that a country has achieved in transport-related fields, as reflected in its technology outputs. The new definition distinguishes this concept from technological capability and is supported by the literature on measuring countries’ technological achievement and capabilities with output indicators (Archibugi &amp; Coco, 2005; Archibugi et al., 2009; Desai et al., 2002). The justification of each indicator and of hypotheses H1–H3 has been revised accordingly, and the references have been reviewed so that each one supports the statement it is cited for. The new name is used consistently in Chapters 1, 2, 4 and 7 and in the tables and figures, and a note in Section 4.3.1 explains that the published versions of this chapter used the term technology capability. To avoid confusion, the construct in the port model, technological innovation capacity, which combines innovation input and technology outputs, now has its own abbreviation, TIC.</w:t>
      </w:r>
    </w:p>
    <w:bookmarkEnd w:id="30"/>
    <w:bookmarkStart w:id="31" w:name="references"/>
    <w:p>
      <w:pPr>
        <w:pStyle w:val="Heading1"/>
      </w:pPr>
      <w:r>
        <w:t xml:space="preserve">REFERENCES</w:t>
      </w:r>
    </w:p>
    <w:p>
      <w:pPr>
        <w:pStyle w:val="BlockText"/>
      </w:pPr>
      <w:r>
        <w:rPr>
          <w:iCs/>
          <w:i/>
          <w:color w:val="606060"/>
        </w:rPr>
        <w:t xml:space="preserve">New entries to add to the reference list (APA 7). † = already in your list. ‡ = a detail I could not confirm.</w:t>
      </w:r>
    </w:p>
    <w:p>
      <w:pPr>
        <w:pStyle w:val="FirstParagraph"/>
      </w:pPr>
      <w:r>
        <w:rPr>
          <w:color w:val="7030A0"/>
        </w:rPr>
        <w:t xml:space="preserve">Archibugi, D., &amp; Coco, A. (2005). Measuring technological capabilities at the country level: A survey and a menu for choice.</w:t>
      </w:r>
      <w:r>
        <w:rPr>
          <w:color w:val="7030A0"/>
        </w:rPr>
        <w:t xml:space="preserve"> </w:t>
      </w:r>
      <w:r>
        <w:rPr>
          <w:iCs/>
          <w:i/>
          <w:color w:val="7030A0"/>
        </w:rPr>
        <w:t xml:space="preserve">Research Policy, 34</w:t>
      </w:r>
      <w:r>
        <w:rPr>
          <w:color w:val="7030A0"/>
        </w:rPr>
        <w:t xml:space="preserve">(2), 175–194. https://doi.org/10.1016/j.respol.2004.12.002 †</w:t>
      </w:r>
    </w:p>
    <w:p>
      <w:pPr>
        <w:pStyle w:val="BodyText"/>
      </w:pPr>
      <w:r>
        <w:rPr>
          <w:color w:val="7030A0"/>
        </w:rPr>
        <w:t xml:space="preserve">Archibugi, D., Denni, M., &amp; Filippetti, A. (2009). The technological capabilities of nations: The state of the art of synthetic indicators.</w:t>
      </w:r>
      <w:r>
        <w:rPr>
          <w:color w:val="7030A0"/>
        </w:rPr>
        <w:t xml:space="preserve"> </w:t>
      </w:r>
      <w:r>
        <w:rPr>
          <w:iCs/>
          <w:i/>
          <w:color w:val="7030A0"/>
        </w:rPr>
        <w:t xml:space="preserve">Technological Forecasting and Social Change, 76</w:t>
      </w:r>
      <w:r>
        <w:rPr>
          <w:color w:val="7030A0"/>
        </w:rPr>
        <w:t xml:space="preserve">(7), 917–931. ‡ (DOI not confirmed; please add it from ScienceDirect)</w:t>
      </w:r>
    </w:p>
    <w:p>
      <w:pPr>
        <w:pStyle w:val="BodyText"/>
      </w:pPr>
      <w:r>
        <w:rPr>
          <w:color w:val="7030A0"/>
        </w:rPr>
        <w:t xml:space="preserve">Cohen, W. M., &amp; Levinthal, D. A. (1990). Absorptive capacity: A new perspective on learning and innovation.</w:t>
      </w:r>
      <w:r>
        <w:rPr>
          <w:color w:val="7030A0"/>
        </w:rPr>
        <w:t xml:space="preserve"> </w:t>
      </w:r>
      <w:r>
        <w:rPr>
          <w:iCs/>
          <w:i/>
          <w:color w:val="7030A0"/>
        </w:rPr>
        <w:t xml:space="preserve">Administrative Science Quarterly, 35</w:t>
      </w:r>
      <w:r>
        <w:rPr>
          <w:color w:val="7030A0"/>
        </w:rPr>
        <w:t xml:space="preserve">(1), 128–152. https://doi.org/10.2307/2393553 (also in file 01)</w:t>
      </w:r>
    </w:p>
    <w:p>
      <w:pPr>
        <w:pStyle w:val="BodyText"/>
      </w:pPr>
      <w:r>
        <w:rPr>
          <w:color w:val="7030A0"/>
        </w:rPr>
        <w:t xml:space="preserve">Desai, M., Fukuda-Parr, S., Johansson, C., &amp; Sagasti, F. (2002). Measuring the technology achievement of nations and the capacity to participate in the network age.</w:t>
      </w:r>
      <w:r>
        <w:rPr>
          <w:color w:val="7030A0"/>
        </w:rPr>
        <w:t xml:space="preserve"> </w:t>
      </w:r>
      <w:r>
        <w:rPr>
          <w:iCs/>
          <w:i/>
          <w:color w:val="7030A0"/>
        </w:rPr>
        <w:t xml:space="preserve">Journal of Human Development, 3</w:t>
      </w:r>
      <w:r>
        <w:rPr>
          <w:color w:val="7030A0"/>
        </w:rPr>
        <w:t xml:space="preserve">(1), 95–122. https://doi.org/10.1080/14649880120105399</w:t>
      </w:r>
    </w:p>
    <w:p>
      <w:pPr>
        <w:pStyle w:val="BodyText"/>
      </w:pPr>
      <w:r>
        <w:rPr>
          <w:color w:val="7030A0"/>
        </w:rPr>
        <w:t xml:space="preserve">Enger, S. G., &amp; Castellacci, F. (2016). Who gets Horizon 2020 research grants? Propensity to apply and probability to succeed in a two-step analysis.</w:t>
      </w:r>
      <w:r>
        <w:rPr>
          <w:color w:val="7030A0"/>
        </w:rPr>
        <w:t xml:space="preserve"> </w:t>
      </w:r>
      <w:r>
        <w:rPr>
          <w:iCs/>
          <w:i/>
          <w:color w:val="7030A0"/>
        </w:rPr>
        <w:t xml:space="preserve">Scientometrics, 109</w:t>
      </w:r>
      <w:r>
        <w:rPr>
          <w:color w:val="7030A0"/>
        </w:rPr>
        <w:t xml:space="preserve">(3), 1611–1638. https://doi.org/10.1007/s11192-016-2145-5</w:t>
      </w:r>
    </w:p>
    <w:p>
      <w:pPr>
        <w:pStyle w:val="BodyText"/>
      </w:pPr>
      <w:r>
        <w:rPr>
          <w:color w:val="7030A0"/>
        </w:rPr>
        <w:t xml:space="preserve">Furman, J. L., Porter, M. E., &amp; Stern, S. (2002). The determinants of national innovative capacity.</w:t>
      </w:r>
      <w:r>
        <w:rPr>
          <w:color w:val="7030A0"/>
        </w:rPr>
        <w:t xml:space="preserve"> </w:t>
      </w:r>
      <w:r>
        <w:rPr>
          <w:iCs/>
          <w:i/>
          <w:color w:val="7030A0"/>
        </w:rPr>
        <w:t xml:space="preserve">Research Policy, 31</w:t>
      </w:r>
      <w:r>
        <w:rPr>
          <w:color w:val="7030A0"/>
        </w:rPr>
        <w:t xml:space="preserve">(6), 899–933. ‡ (issue number and DOI not confirmed; please check on ScienceDirect)</w:t>
      </w:r>
    </w:p>
    <w:p>
      <w:pPr>
        <w:pStyle w:val="BodyText"/>
      </w:pPr>
      <w:r>
        <w:rPr>
          <w:color w:val="7030A0"/>
        </w:rPr>
        <w:t xml:space="preserve">Lall, S. (1992). Technological capabilities and industrialization.</w:t>
      </w:r>
      <w:r>
        <w:rPr>
          <w:color w:val="7030A0"/>
        </w:rPr>
        <w:t xml:space="preserve"> </w:t>
      </w:r>
      <w:r>
        <w:rPr>
          <w:iCs/>
          <w:i/>
          <w:color w:val="7030A0"/>
        </w:rPr>
        <w:t xml:space="preserve">World Development, 20</w:t>
      </w:r>
      <w:r>
        <w:rPr>
          <w:color w:val="7030A0"/>
        </w:rPr>
        <w:t xml:space="preserve">(2), 165–186. https://doi.org/10.1016/0305-750X(92)90097-F †</w:t>
      </w:r>
    </w:p>
    <w:p>
      <w:pPr>
        <w:pStyle w:val="BodyText"/>
      </w:pPr>
      <w:r>
        <w:rPr>
          <w:color w:val="7030A0"/>
        </w:rPr>
        <w:t xml:space="preserve">Li, Q., &amp; Lam, J. S. L. (2022). Impact factors on level of participation in port technology projects: The role of technological capability. In</w:t>
      </w:r>
      <w:r>
        <w:rPr>
          <w:color w:val="7030A0"/>
        </w:rPr>
        <w:t xml:space="preserve"> </w:t>
      </w:r>
      <w:r>
        <w:rPr>
          <w:iCs/>
          <w:i/>
          <w:color w:val="7030A0"/>
        </w:rPr>
        <w:t xml:space="preserve">Proceedings of the 29th Annual Conference of the International Association of Maritime Economists (IAME 2022)</w:t>
      </w:r>
      <w:r>
        <w:rPr>
          <w:color w:val="7030A0"/>
        </w:rPr>
        <w:t xml:space="preserve">, Busan, South Korea. † (your list has</w:t>
      </w:r>
      <w:r>
        <w:rPr>
          <w:color w:val="7030A0"/>
        </w:rPr>
        <w:t xml:space="preserve"> </w:t>
      </w:r>
      <w:r>
        <w:rPr>
          <w:color w:val="7030A0"/>
        </w:rPr>
        <w:t xml:space="preserve">“</w:t>
      </w:r>
      <w:r>
        <w:rPr>
          <w:color w:val="7030A0"/>
        </w:rPr>
        <w:t xml:space="preserve">Bushan</w:t>
      </w:r>
      <w:r>
        <w:rPr>
          <w:color w:val="7030A0"/>
        </w:rPr>
        <w:t xml:space="preserve">”</w:t>
      </w:r>
      <w:r>
        <w:rPr>
          <w:color w:val="7030A0"/>
        </w:rPr>
        <w:t xml:space="preserve">; the city is Busan)</w:t>
      </w:r>
    </w:p>
    <w:p>
      <w:pPr>
        <w:pStyle w:val="BodyText"/>
      </w:pPr>
      <w:r>
        <w:rPr>
          <w:color w:val="7030A0"/>
        </w:rPr>
        <w:t xml:space="preserve">Li, Q., &amp; Lam, J. S. L. (2025). Impact factors on level of participation in transport infrastructure technology development: The role of technology capability.</w:t>
      </w:r>
      <w:r>
        <w:rPr>
          <w:color w:val="7030A0"/>
        </w:rPr>
        <w:t xml:space="preserve"> </w:t>
      </w:r>
      <w:r>
        <w:rPr>
          <w:iCs/>
          <w:i/>
          <w:color w:val="7030A0"/>
        </w:rPr>
        <w:t xml:space="preserve">Case Studies on Transport Policy, 22</w:t>
      </w:r>
      <w:r>
        <w:rPr>
          <w:color w:val="7030A0"/>
        </w:rPr>
        <w:t xml:space="preserve">, 101598. https://doi.org/10.1016/j.cstp.2025.101598 †</w:t>
      </w:r>
    </w:p>
    <w:p>
      <w:pPr>
        <w:pStyle w:val="BodyText"/>
      </w:pPr>
      <w:r>
        <w:rPr>
          <w:color w:val="7030A0"/>
        </w:rPr>
        <w:t xml:space="preserve">Sultana, N., &amp; Turkina, E. (2020). Foreign direct investment, technological advancement, and absorptive capacity: A network analysis.</w:t>
      </w:r>
      <w:r>
        <w:rPr>
          <w:color w:val="7030A0"/>
        </w:rPr>
        <w:t xml:space="preserve"> </w:t>
      </w:r>
      <w:r>
        <w:rPr>
          <w:iCs/>
          <w:i/>
          <w:color w:val="7030A0"/>
        </w:rPr>
        <w:t xml:space="preserve">International Business Review, 29</w:t>
      </w:r>
      <w:r>
        <w:rPr>
          <w:color w:val="7030A0"/>
        </w:rPr>
        <w:t xml:space="preserve">(2), 101668. https://doi.org/10.1016/j.ibusrev.2020.101668 †</w:t>
      </w:r>
    </w:p>
    <w:p>
      <w:pPr>
        <w:pStyle w:val="BodyText"/>
      </w:pPr>
      <w:r>
        <w:rPr>
          <w:color w:val="7030A0"/>
        </w:rPr>
        <w:t xml:space="preserve">Tavassoli, S. (2018). The role of product innovation on export behavior of firms: Is it innovation input or innovation output that matters?</w:t>
      </w:r>
      <w:r>
        <w:rPr>
          <w:color w:val="7030A0"/>
        </w:rPr>
        <w:t xml:space="preserve"> </w:t>
      </w:r>
      <w:r>
        <w:rPr>
          <w:iCs/>
          <w:i/>
          <w:color w:val="7030A0"/>
        </w:rPr>
        <w:t xml:space="preserve">European Journal of Innovation Management, 21</w:t>
      </w:r>
      <w:r>
        <w:rPr>
          <w:color w:val="7030A0"/>
        </w:rPr>
        <w:t xml:space="preserve">(2), 294–314. https://doi.org/10.1108/EJIM-12-2016-0124 †</w:t>
      </w:r>
    </w:p>
    <w:p>
      <w:pPr>
        <w:pStyle w:val="BodyText"/>
      </w:pPr>
      <w:r>
        <w:rPr>
          <w:color w:val="7030A0"/>
        </w:rPr>
        <w:t xml:space="preserve">UNIDO. (n.d.).</w:t>
      </w:r>
      <w:r>
        <w:rPr>
          <w:color w:val="7030A0"/>
        </w:rPr>
        <w:t xml:space="preserve"> </w:t>
      </w:r>
      <w:r>
        <w:rPr>
          <w:iCs/>
          <w:i/>
          <w:color w:val="7030A0"/>
        </w:rPr>
        <w:t xml:space="preserve">Competitive Industrial Performance (CIP) Index</w:t>
      </w:r>
      <w:r>
        <w:rPr>
          <w:color w:val="7030A0"/>
        </w:rPr>
        <w:t xml:space="preserve"> </w:t>
      </w:r>
      <w:r>
        <w:rPr>
          <w:color w:val="7030A0"/>
        </w:rPr>
        <w:t xml:space="preserve">[Data set]. United Nations Industrial Development Organization. Retrieved [date], from https://stat.unido.org/database/CIP%20-%20Competitive%20Industrial%20Performance%20Index</w:t>
      </w:r>
    </w:p>
    <w:p>
      <w:pPr>
        <w:pStyle w:val="BodyText"/>
      </w:pPr>
      <w:r>
        <w:rPr>
          <w:color w:val="7030A0"/>
        </w:rPr>
        <w:t xml:space="preserve">Yeon, J.-I., Lee, J.-D., &amp; Baek, C. (2021). A tale of two technological capabilities: Economic growth revisited from a technological capability transition perspective.</w:t>
      </w:r>
      <w:r>
        <w:rPr>
          <w:color w:val="7030A0"/>
        </w:rPr>
        <w:t xml:space="preserve"> </w:t>
      </w:r>
      <w:r>
        <w:rPr>
          <w:iCs/>
          <w:i/>
          <w:color w:val="7030A0"/>
        </w:rPr>
        <w:t xml:space="preserve">The Journal of Technology Transfer, 46</w:t>
      </w:r>
      <w:r>
        <w:rPr>
          <w:color w:val="7030A0"/>
        </w:rPr>
        <w:t xml:space="preserve">, 574–605. https://doi.org/10.1007/s10961-020-09809-2 †</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4, Chapter 4: renaming ‘technology capability’ (TC) as ‘technology development level’ (TDL)</dc:title>
  <dc:creator/>
  <cp:keywords/>
  <dcterms:created xsi:type="dcterms:W3CDTF">2026-10-10T17:05:21Z</dcterms:created>
  <dcterms:modified xsi:type="dcterms:W3CDTF">2026-10-10T17:05:21Z</dcterms:modified>
</cp:coreProperties>
</file>

<file path=docProps/custom.xml><?xml version="1.0" encoding="utf-8"?>
<Properties xmlns="http://schemas.openxmlformats.org/officeDocument/2006/custom-properties" xmlns:vt="http://schemas.openxmlformats.org/officeDocument/2006/docPropsVTypes"/>
</file>