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w:t>
      </w:r>
      <w:r>
        <w:t xml:space="preserve"> </w:t>
      </w:r>
      <w:r>
        <w:t xml:space="preserve">draft</w:t>
      </w:r>
      <w:r>
        <w:t xml:space="preserve"> </w:t>
      </w:r>
      <w:r>
        <w:t xml:space="preserve">—</w:t>
      </w:r>
      <w:r>
        <w:t xml:space="preserve"> </w:t>
      </w:r>
      <w:r>
        <w:t xml:space="preserve">Examiner</w:t>
      </w:r>
      <w:r>
        <w:t xml:space="preserve"> </w:t>
      </w:r>
      <w:r>
        <w:t xml:space="preserve">4,</w:t>
      </w:r>
      <w:r>
        <w:t xml:space="preserve"> </w:t>
      </w:r>
      <w:r>
        <w:t xml:space="preserve">Table</w:t>
      </w:r>
      <w:r>
        <w:t xml:space="preserve"> </w:t>
      </w:r>
      <w:r>
        <w:t xml:space="preserve">3:</w:t>
      </w:r>
      <w:r>
        <w:t xml:space="preserve"> </w:t>
      </w:r>
      <w:r>
        <w:t xml:space="preserve">technological</w:t>
      </w:r>
      <w:r>
        <w:t xml:space="preserve"> </w:t>
      </w:r>
      <w:r>
        <w:t xml:space="preserve">improvements</w:t>
      </w:r>
      <w:r>
        <w:t xml:space="preserve"> </w:t>
      </w:r>
      <w:r>
        <w:t xml:space="preserve">in</w:t>
      </w:r>
      <w:r>
        <w:t xml:space="preserve"> </w:t>
      </w:r>
      <w:r>
        <w:t xml:space="preserve">container</w:t>
      </w:r>
      <w:r>
        <w:t xml:space="preserve"> </w:t>
      </w:r>
      <w:r>
        <w:t xml:space="preserve">terminals</w:t>
      </w:r>
    </w:p>
    <w:p>
      <w:pPr>
        <w:pStyle w:val="BlockText"/>
      </w:pPr>
      <w:r>
        <w:rPr>
          <w:iCs/>
          <w:i/>
          <w:color w:val="606060"/>
        </w:rPr>
        <w:t xml:space="preserve">Examiner’s comment:</w:t>
      </w:r>
      <w:r>
        <w:rPr>
          <w:iCs/>
          <w:i/>
          <w:color w:val="606060"/>
        </w:rPr>
        <w:t xml:space="preserve"> </w:t>
      </w:r>
      <w:r>
        <w:rPr>
          <w:iCs/>
          <w:i/>
          <w:color w:val="606060"/>
        </w:rPr>
        <w:t xml:space="preserve">“</w:t>
      </w:r>
      <w:r>
        <w:rPr>
          <w:iCs/>
          <w:i/>
          <w:color w:val="606060"/>
        </w:rPr>
        <w:t xml:space="preserve">Table 3 lists technologies contributing to container terminal efficiency, but they are few and limited. It might be worthwhile to merge it with Table 4.</w:t>
      </w:r>
      <w:r>
        <w:rPr>
          <w:iCs/>
          <w:i/>
          <w:color w:val="606060"/>
        </w:rPr>
        <w:t xml:space="preserve">”</w:t>
      </w:r>
    </w:p>
    <w:p>
      <w:pPr>
        <w:pStyle w:val="BlockText"/>
      </w:pPr>
      <w:r>
        <w:rPr>
          <w:iCs/>
          <w:i/>
          <w:color w:val="606060"/>
        </w:rPr>
        <w:t xml:space="preserve">Approach: keep Table 3 separate from Table 4, as you prefer, and make the distinction between them explicit. Table 3 covers improvements to established container-terminal equipment and systems, organised by terminal subsystem. Table 4 covers emerging technologies that are new to ports. This follows the distinction already drawn in Section 2.1.1 between improvement and innovation. Table 3 is expanded from 7 to 15 technologies, and the text around it is rewritten to discuss each subsystem.</w:t>
      </w:r>
    </w:p>
    <w:p>
      <w:pPr>
        <w:pStyle w:val="BlockText"/>
      </w:pPr>
      <w:r>
        <w:rPr>
          <w:iCs/>
          <w:i/>
          <w:color w:val="606060"/>
        </w:rPr>
        <w:t xml:space="preserve">Based on the old amended thesis; please check the anchors against your 10 Oct version. Notes to you are in grey italic boxes. Everything else is proposed thesis text, to be marked purple.</w:t>
      </w:r>
    </w:p>
    <w:bookmarkStart w:id="20" w:name="X71c2c35ec1187f8f4a0ed232dddc4419a7a5f40"/>
    <w:p>
      <w:pPr>
        <w:pStyle w:val="Heading1"/>
      </w:pPr>
      <w:r>
        <w:t xml:space="preserve">PART A — SECTION 2.3: REVISED TEXT AND TABLE 3</w:t>
      </w:r>
    </w:p>
    <w:p>
      <w:pPr>
        <w:pStyle w:val="BlockText"/>
      </w:pPr>
      <w:r>
        <w:rPr>
          <w:iCs/>
          <w:i/>
          <w:color w:val="606060"/>
        </w:rPr>
        <w:t xml:space="preserve">Replace the paragraph beginning</w:t>
      </w:r>
      <w:r>
        <w:rPr>
          <w:iCs/>
          <w:i/>
          <w:color w:val="606060"/>
        </w:rPr>
        <w:t xml:space="preserve"> </w:t>
      </w:r>
      <w:r>
        <w:rPr>
          <w:iCs/>
          <w:i/>
          <w:color w:val="606060"/>
        </w:rPr>
        <w:t xml:space="preserve">“</w:t>
      </w:r>
      <w:r>
        <w:rPr>
          <w:iCs/>
          <w:i/>
          <w:color w:val="606060"/>
        </w:rPr>
        <w:t xml:space="preserve">For technology advancement through improvement with incremental changes over time…</w:t>
      </w:r>
      <w:r>
        <w:rPr>
          <w:iCs/>
          <w:i/>
          <w:color w:val="606060"/>
        </w:rPr>
        <w:t xml:space="preserve">”</w:t>
      </w:r>
      <w:r>
        <w:rPr>
          <w:iCs/>
          <w:i/>
          <w:color w:val="606060"/>
        </w:rPr>
        <w:t xml:space="preserve">, Table 3 and its source line with the text and table below. Keep your existing sentences on dry and liquid bulk terminals (Wang &amp; Saputra, 2018) after the new text if you wish. The sentence citing Electric Power Research Institute (2010) and Isa (2022) on quay crane generations is replaced by the second paragraph below. Isa (2022) is a manufacturer’s web page, so removing it also strengthens the sourcing.</w:t>
      </w:r>
    </w:p>
    <w:p>
      <w:pPr>
        <w:pStyle w:val="FirstParagraph"/>
      </w:pPr>
      <w:r>
        <w:rPr>
          <w:color w:val="7030A0"/>
        </w:rPr>
        <w:t xml:space="preserve">Technology advancement in ports takes place both through the improvement of established technologies and through the introduction of new ones (Section 2.1.1). In container terminals, improvements are organised around four subsystems: seaside operations at the quay, horizontal transport between the quay and the yard, storage in the yard, and landside operations at the gate and hinterland interface (Carlo et al., 2014a, 2014b; Steenken et al., 2004). Table 3 summarises the main technological improvements in each subsystem, together with improvements at the terminal-wide level. Most of them are upgrades or reconfigurations of equipment and systems that terminals already use, and they mainly raise handling capacity, productivity and reliability, or reduce energy use and emissions.</w:t>
      </w:r>
    </w:p>
    <w:p>
      <w:pPr>
        <w:pStyle w:val="BodyText"/>
      </w:pPr>
      <w:r>
        <w:rPr>
          <w:color w:val="7030A0"/>
        </w:rPr>
        <w:t xml:space="preserve">At the quay, ship-to-shore cranes have grown in outreach and lifting capacity with the size of container ships, and the adoption of new handling equipment such as post-Panamax cranes has been associated with technological progress in container terminals (Cheon et al., 2010). Spreaders have been upgraded to handle more than one container per crane cycle. Twin-lift spreaders handle two containers at a time, and tandem spreaders lift containers side by side, which raises crane productivity but requires more than one vehicle per lift and coordinated stowage planning (Chao &amp; Lin, 2011; Kong et al., 2021). Dual-trolley quay cranes divide each crane cycle between two trolleys, so that ship-side and quay-side movements can overlap (Yue et al., 2021), and remote control allows quay cranes to be operated from a control room rather than from the crane cab (Gharehgozli et al., 2016; Knatz et al., 2022).</w:t>
      </w:r>
    </w:p>
    <w:p>
      <w:pPr>
        <w:pStyle w:val="BodyText"/>
      </w:pPr>
      <w:r>
        <w:rPr>
          <w:color w:val="7030A0"/>
        </w:rPr>
        <w:t xml:space="preserve">Horizontal transport has evolved from manned tractor–trailer units to straddle and shuttle carriers, multi-trailer systems and automated vehicles (Carlo et al., 2014b). Automated guided vehicles remove the driver, and automated lifting vehicles can also pick up and set down containers themselves, which decouples them from the cranes (Vis &amp; Harika, 2004). In the yard, rail-mounted and automated stacking cranes allow denser stacking and lower labour input than rubber-tyred gantries or straddle carriers (Carlo et al., 2014a; Kemme, 2013). Configurations with two cranes per block, either twin cranes sharing the same rails or double cranes that can pass each other, increase the handling capacity of a block but must be coordinated to avoid interference (Gharehgozli et al., 2017; Zhang et al., 2024). Positioning technologies, such as transponders, laser scanners and GPS combined with RFID, support the navigation of vehicles and the tracking of containers (Gharehgozli et al., 2016).</w:t>
      </w:r>
    </w:p>
    <w:p>
      <w:pPr>
        <w:pStyle w:val="BodyText"/>
      </w:pPr>
      <w:r>
        <w:rPr>
          <w:color w:val="7030A0"/>
        </w:rPr>
        <w:t xml:space="preserve">At the landside, gate operations have been automated with optical character recognition, often combined with cameras for damage inspection (Heilig et al., 2020). Truck appointment systems have been introduced to spread truck arrivals and reduce queuing, although an early evaluation at the Ports of Los Angeles and Long Beach found no evidence that the system reduced queuing or truck emissions (Giuliano &amp; O’Brien, 2007), which shows that the effect of such systems depends on their design and use. The extended gate concept allows the seaport terminal to move containers to an inland terminal and to treat it as an extension of its own gate (Veenstra et al., 2012). Across all subsystems, terminal operating systems and related information systems plan and control the movements of equipment and containers (Heilig &amp; Voß, 2017). Energy-related improvements to existing equipment include the electrification of cargo-handling equipment, energy storage and energy management systems (Iris &amp; Lam, 2019). These improvements matter because a few types of equipment dominate terminal emissions. At a container terminal in the Port of Valencia, yard tractors and rubber-tyred gantries accounted for 68.1 per cent of total CO₂ emissions (Martínez-Moya et al., 2019), and electric rubber-tyred gantries have been shown to reduce energy use and CO₂ emissions substantially compared with diesel units (Yang &amp; Chang, 2013).</w:t>
      </w:r>
    </w:p>
    <w:p>
      <w:pPr>
        <w:pStyle w:val="BodyText"/>
      </w:pPr>
      <w:r>
        <w:rPr>
          <w:bCs/>
          <w:b/>
          <w:color w:val="7030A0"/>
        </w:rPr>
        <w:t xml:space="preserve">Table 3: Technological improvements in container terminals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color w:val="7030A0"/>
                <w:sz w:val="18"/>
              </w:rPr>
              <w:t xml:space="preserve">Subsystem</w:t>
            </w:r>
          </w:p>
        </w:tc>
        <w:tc>
          <w:tcPr/>
          <w:p>
            <w:pPr>
              <w:pStyle w:val="Compact"/>
              <w:jc w:val="left"/>
            </w:pPr>
            <w:r>
              <w:rPr>
                <w:color w:val="7030A0"/>
                <w:sz w:val="18"/>
              </w:rPr>
              <w:t xml:space="preserve">Technology improvement</w:t>
            </w:r>
          </w:p>
        </w:tc>
        <w:tc>
          <w:tcPr/>
          <w:p>
            <w:pPr>
              <w:pStyle w:val="Compact"/>
              <w:jc w:val="left"/>
            </w:pPr>
            <w:r>
              <w:rPr>
                <w:color w:val="7030A0"/>
                <w:sz w:val="18"/>
              </w:rPr>
              <w:t xml:space="preserve">Replaces or upgrades</w:t>
            </w:r>
          </w:p>
        </w:tc>
        <w:tc>
          <w:tcPr/>
          <w:p>
            <w:pPr>
              <w:pStyle w:val="Compact"/>
              <w:jc w:val="left"/>
            </w:pPr>
            <w:r>
              <w:rPr>
                <w:color w:val="7030A0"/>
                <w:sz w:val="18"/>
              </w:rPr>
              <w:t xml:space="preserve">Main effect</w:t>
            </w:r>
          </w:p>
        </w:tc>
        <w:tc>
          <w:tcPr/>
          <w:p>
            <w:pPr>
              <w:pStyle w:val="Compact"/>
              <w:jc w:val="left"/>
            </w:pPr>
            <w:r>
              <w:rPr>
                <w:color w:val="7030A0"/>
                <w:sz w:val="18"/>
              </w:rPr>
              <w:t xml:space="preserve">Sources</w:t>
            </w:r>
          </w:p>
        </w:tc>
      </w:tr>
      <w:tr>
        <w:tc>
          <w:tcPr/>
          <w:p>
            <w:pPr>
              <w:pStyle w:val="Compact"/>
              <w:jc w:val="left"/>
            </w:pPr>
            <w:r>
              <w:rPr>
                <w:color w:val="7030A0"/>
                <w:sz w:val="18"/>
              </w:rPr>
              <w:t xml:space="preserve">Seaside</w:t>
            </w:r>
          </w:p>
        </w:tc>
        <w:tc>
          <w:tcPr/>
          <w:p>
            <w:pPr>
              <w:pStyle w:val="Compact"/>
              <w:jc w:val="left"/>
            </w:pPr>
            <w:r>
              <w:rPr>
                <w:color w:val="7030A0"/>
                <w:sz w:val="18"/>
              </w:rPr>
              <w:t xml:space="preserve">Larger ship-to-shore cranes (post-Panamax and larger)</w:t>
            </w:r>
          </w:p>
        </w:tc>
        <w:tc>
          <w:tcPr/>
          <w:p>
            <w:pPr>
              <w:pStyle w:val="Compact"/>
              <w:jc w:val="left"/>
            </w:pPr>
            <w:r>
              <w:rPr>
                <w:color w:val="7030A0"/>
                <w:sz w:val="18"/>
              </w:rPr>
              <w:t xml:space="preserve">Smaller cranes</w:t>
            </w:r>
          </w:p>
        </w:tc>
        <w:tc>
          <w:tcPr/>
          <w:p>
            <w:pPr>
              <w:pStyle w:val="Compact"/>
              <w:jc w:val="left"/>
            </w:pPr>
            <w:r>
              <w:rPr>
                <w:color w:val="7030A0"/>
                <w:sz w:val="18"/>
              </w:rPr>
              <w:t xml:space="preserve">Serve larger vessels</w:t>
            </w:r>
          </w:p>
        </w:tc>
        <w:tc>
          <w:tcPr/>
          <w:p>
            <w:pPr>
              <w:pStyle w:val="Compact"/>
              <w:jc w:val="left"/>
            </w:pPr>
            <w:r>
              <w:rPr>
                <w:color w:val="7030A0"/>
                <w:sz w:val="18"/>
              </w:rPr>
              <w:t xml:space="preserve">Cheon et al. (2010)</w:t>
            </w:r>
          </w:p>
        </w:tc>
      </w:tr>
      <w:tr>
        <w:tc>
          <w:tcPr/>
          <w:p>
            <w:pPr>
              <w:pStyle w:val="Compact"/>
            </w:pPr>
          </w:p>
        </w:tc>
        <w:tc>
          <w:tcPr/>
          <w:p>
            <w:pPr>
              <w:pStyle w:val="Compact"/>
              <w:jc w:val="left"/>
            </w:pPr>
            <w:r>
              <w:rPr>
                <w:color w:val="7030A0"/>
                <w:sz w:val="18"/>
              </w:rPr>
              <w:t xml:space="preserve">Twin-lift and tandem spreaders</w:t>
            </w:r>
          </w:p>
        </w:tc>
        <w:tc>
          <w:tcPr/>
          <w:p>
            <w:pPr>
              <w:pStyle w:val="Compact"/>
              <w:jc w:val="left"/>
            </w:pPr>
            <w:r>
              <w:rPr>
                <w:color w:val="7030A0"/>
                <w:sz w:val="18"/>
              </w:rPr>
              <w:t xml:space="preserve">Single-lift spreaders</w:t>
            </w:r>
          </w:p>
        </w:tc>
        <w:tc>
          <w:tcPr/>
          <w:p>
            <w:pPr>
              <w:pStyle w:val="Compact"/>
              <w:jc w:val="left"/>
            </w:pPr>
            <w:r>
              <w:rPr>
                <w:color w:val="7030A0"/>
                <w:sz w:val="18"/>
              </w:rPr>
              <w:t xml:space="preserve">More containers per crane cycle</w:t>
            </w:r>
          </w:p>
        </w:tc>
        <w:tc>
          <w:tcPr/>
          <w:p>
            <w:pPr>
              <w:pStyle w:val="Compact"/>
              <w:jc w:val="left"/>
            </w:pPr>
            <w:r>
              <w:rPr>
                <w:color w:val="7030A0"/>
                <w:sz w:val="18"/>
              </w:rPr>
              <w:t xml:space="preserve">Chao &amp; Lin (2011); Kong et al. (2021)</w:t>
            </w:r>
          </w:p>
        </w:tc>
      </w:tr>
      <w:tr>
        <w:tc>
          <w:tcPr/>
          <w:p>
            <w:pPr>
              <w:pStyle w:val="Compact"/>
            </w:pPr>
          </w:p>
        </w:tc>
        <w:tc>
          <w:tcPr/>
          <w:p>
            <w:pPr>
              <w:pStyle w:val="Compact"/>
              <w:jc w:val="left"/>
            </w:pPr>
            <w:r>
              <w:rPr>
                <w:color w:val="7030A0"/>
                <w:sz w:val="18"/>
              </w:rPr>
              <w:t xml:space="preserve">Dual-trolley quay cranes</w:t>
            </w:r>
          </w:p>
        </w:tc>
        <w:tc>
          <w:tcPr/>
          <w:p>
            <w:pPr>
              <w:pStyle w:val="Compact"/>
              <w:jc w:val="left"/>
            </w:pPr>
            <w:r>
              <w:rPr>
                <w:color w:val="7030A0"/>
                <w:sz w:val="18"/>
              </w:rPr>
              <w:t xml:space="preserve">Single-trolley cranes</w:t>
            </w:r>
          </w:p>
        </w:tc>
        <w:tc>
          <w:tcPr/>
          <w:p>
            <w:pPr>
              <w:pStyle w:val="Compact"/>
              <w:jc w:val="left"/>
            </w:pPr>
            <w:r>
              <w:rPr>
                <w:color w:val="7030A0"/>
                <w:sz w:val="18"/>
              </w:rPr>
              <w:t xml:space="preserve">Shorter crane cycles</w:t>
            </w:r>
          </w:p>
        </w:tc>
        <w:tc>
          <w:tcPr/>
          <w:p>
            <w:pPr>
              <w:pStyle w:val="Compact"/>
              <w:jc w:val="left"/>
            </w:pPr>
            <w:r>
              <w:rPr>
                <w:color w:val="7030A0"/>
                <w:sz w:val="18"/>
              </w:rPr>
              <w:t xml:space="preserve">Yue et al. (2021)</w:t>
            </w:r>
          </w:p>
        </w:tc>
      </w:tr>
      <w:tr>
        <w:tc>
          <w:tcPr/>
          <w:p>
            <w:pPr>
              <w:pStyle w:val="Compact"/>
            </w:pPr>
          </w:p>
        </w:tc>
        <w:tc>
          <w:tcPr/>
          <w:p>
            <w:pPr>
              <w:pStyle w:val="Compact"/>
              <w:jc w:val="left"/>
            </w:pPr>
            <w:r>
              <w:rPr>
                <w:color w:val="7030A0"/>
                <w:sz w:val="18"/>
              </w:rPr>
              <w:t xml:space="preserve">Remote-controlled quay cranes</w:t>
            </w:r>
          </w:p>
        </w:tc>
        <w:tc>
          <w:tcPr/>
          <w:p>
            <w:pPr>
              <w:pStyle w:val="Compact"/>
              <w:jc w:val="left"/>
            </w:pPr>
            <w:r>
              <w:rPr>
                <w:color w:val="7030A0"/>
                <w:sz w:val="18"/>
              </w:rPr>
              <w:t xml:space="preserve">Cab-operated cranes</w:t>
            </w:r>
          </w:p>
        </w:tc>
        <w:tc>
          <w:tcPr/>
          <w:p>
            <w:pPr>
              <w:pStyle w:val="Compact"/>
              <w:jc w:val="left"/>
            </w:pPr>
            <w:r>
              <w:rPr>
                <w:color w:val="7030A0"/>
                <w:sz w:val="18"/>
              </w:rPr>
              <w:t xml:space="preserve">Operation from a control room</w:t>
            </w:r>
          </w:p>
        </w:tc>
        <w:tc>
          <w:tcPr/>
          <w:p>
            <w:pPr>
              <w:pStyle w:val="Compact"/>
              <w:jc w:val="left"/>
            </w:pPr>
            <w:r>
              <w:rPr>
                <w:color w:val="7030A0"/>
                <w:sz w:val="18"/>
              </w:rPr>
              <w:t xml:space="preserve">Gharehgozli et al. (2016); Knatz et al. (2022)</w:t>
            </w:r>
          </w:p>
        </w:tc>
      </w:tr>
      <w:tr>
        <w:tc>
          <w:tcPr/>
          <w:p>
            <w:pPr>
              <w:pStyle w:val="Compact"/>
              <w:jc w:val="left"/>
            </w:pPr>
            <w:r>
              <w:rPr>
                <w:color w:val="7030A0"/>
                <w:sz w:val="18"/>
              </w:rPr>
              <w:t xml:space="preserve">Horizontal transport</w:t>
            </w:r>
          </w:p>
        </w:tc>
        <w:tc>
          <w:tcPr/>
          <w:p>
            <w:pPr>
              <w:pStyle w:val="Compact"/>
              <w:jc w:val="left"/>
            </w:pPr>
            <w:r>
              <w:rPr>
                <w:color w:val="7030A0"/>
                <w:sz w:val="18"/>
              </w:rPr>
              <w:t xml:space="preserve">Straddle and shuttle carriers; multi-trailer systems</w:t>
            </w:r>
          </w:p>
        </w:tc>
        <w:tc>
          <w:tcPr/>
          <w:p>
            <w:pPr>
              <w:pStyle w:val="Compact"/>
              <w:jc w:val="left"/>
            </w:pPr>
            <w:r>
              <w:rPr>
                <w:color w:val="7030A0"/>
                <w:sz w:val="18"/>
              </w:rPr>
              <w:t xml:space="preserve">Tractor–trailer units</w:t>
            </w:r>
          </w:p>
        </w:tc>
        <w:tc>
          <w:tcPr/>
          <w:p>
            <w:pPr>
              <w:pStyle w:val="Compact"/>
              <w:jc w:val="left"/>
            </w:pPr>
            <w:r>
              <w:rPr>
                <w:color w:val="7030A0"/>
                <w:sz w:val="18"/>
              </w:rPr>
              <w:t xml:space="preserve">Self-lifting or more containers per trip</w:t>
            </w:r>
          </w:p>
        </w:tc>
        <w:tc>
          <w:tcPr/>
          <w:p>
            <w:pPr>
              <w:pStyle w:val="Compact"/>
              <w:jc w:val="left"/>
            </w:pPr>
            <w:r>
              <w:rPr>
                <w:color w:val="7030A0"/>
                <w:sz w:val="18"/>
              </w:rPr>
              <w:t xml:space="preserve">Carlo et al. (2014b)</w:t>
            </w:r>
          </w:p>
        </w:tc>
      </w:tr>
      <w:tr>
        <w:tc>
          <w:tcPr/>
          <w:p>
            <w:pPr>
              <w:pStyle w:val="Compact"/>
            </w:pPr>
          </w:p>
        </w:tc>
        <w:tc>
          <w:tcPr/>
          <w:p>
            <w:pPr>
              <w:pStyle w:val="Compact"/>
              <w:jc w:val="left"/>
            </w:pPr>
            <w:r>
              <w:rPr>
                <w:color w:val="7030A0"/>
                <w:sz w:val="18"/>
              </w:rPr>
              <w:t xml:space="preserve">Automated guided and automated lifting vehicles</w:t>
            </w:r>
          </w:p>
        </w:tc>
        <w:tc>
          <w:tcPr/>
          <w:p>
            <w:pPr>
              <w:pStyle w:val="Compact"/>
              <w:jc w:val="left"/>
            </w:pPr>
            <w:r>
              <w:rPr>
                <w:color w:val="7030A0"/>
                <w:sz w:val="18"/>
              </w:rPr>
              <w:t xml:space="preserve">Manned vehicles</w:t>
            </w:r>
          </w:p>
        </w:tc>
        <w:tc>
          <w:tcPr/>
          <w:p>
            <w:pPr>
              <w:pStyle w:val="Compact"/>
              <w:jc w:val="left"/>
            </w:pPr>
            <w:r>
              <w:rPr>
                <w:color w:val="7030A0"/>
                <w:sz w:val="18"/>
              </w:rPr>
              <w:t xml:space="preserve">Driverless; decoupled from cranes</w:t>
            </w:r>
          </w:p>
        </w:tc>
        <w:tc>
          <w:tcPr/>
          <w:p>
            <w:pPr>
              <w:pStyle w:val="Compact"/>
              <w:jc w:val="left"/>
            </w:pPr>
            <w:r>
              <w:rPr>
                <w:color w:val="7030A0"/>
                <w:sz w:val="18"/>
              </w:rPr>
              <w:t xml:space="preserve">Gharehgozli et al. (2016); Vis &amp; Harika (2004)</w:t>
            </w:r>
          </w:p>
        </w:tc>
      </w:tr>
      <w:tr>
        <w:tc>
          <w:tcPr/>
          <w:p>
            <w:pPr>
              <w:pStyle w:val="Compact"/>
            </w:pPr>
          </w:p>
        </w:tc>
        <w:tc>
          <w:tcPr/>
          <w:p>
            <w:pPr>
              <w:pStyle w:val="Compact"/>
              <w:jc w:val="left"/>
            </w:pPr>
            <w:r>
              <w:rPr>
                <w:color w:val="7030A0"/>
                <w:sz w:val="18"/>
              </w:rPr>
              <w:t xml:space="preserve">Guide-path networks; transponders, laser scanners, GPS with RFID</w:t>
            </w:r>
          </w:p>
        </w:tc>
        <w:tc>
          <w:tcPr/>
          <w:p>
            <w:pPr>
              <w:pStyle w:val="Compact"/>
              <w:jc w:val="left"/>
            </w:pPr>
            <w:r>
              <w:rPr>
                <w:color w:val="7030A0"/>
                <w:sz w:val="18"/>
              </w:rPr>
              <w:t xml:space="preserve">Manual navigation and tracking</w:t>
            </w:r>
          </w:p>
        </w:tc>
        <w:tc>
          <w:tcPr/>
          <w:p>
            <w:pPr>
              <w:pStyle w:val="Compact"/>
              <w:jc w:val="left"/>
            </w:pPr>
            <w:r>
              <w:rPr>
                <w:color w:val="7030A0"/>
                <w:sz w:val="18"/>
              </w:rPr>
              <w:t xml:space="preserve">Positioning and tracking</w:t>
            </w:r>
          </w:p>
        </w:tc>
        <w:tc>
          <w:tcPr/>
          <w:p>
            <w:pPr>
              <w:pStyle w:val="Compact"/>
              <w:jc w:val="left"/>
            </w:pPr>
            <w:r>
              <w:rPr>
                <w:color w:val="7030A0"/>
                <w:sz w:val="18"/>
              </w:rPr>
              <w:t xml:space="preserve">Gharehgozli et al. (2016)</w:t>
            </w:r>
          </w:p>
        </w:tc>
      </w:tr>
      <w:tr>
        <w:tc>
          <w:tcPr/>
          <w:p>
            <w:pPr>
              <w:pStyle w:val="Compact"/>
              <w:jc w:val="left"/>
            </w:pPr>
            <w:r>
              <w:rPr>
                <w:color w:val="7030A0"/>
                <w:sz w:val="18"/>
              </w:rPr>
              <w:t xml:space="preserve">Yard</w:t>
            </w:r>
          </w:p>
        </w:tc>
        <w:tc>
          <w:tcPr/>
          <w:p>
            <w:pPr>
              <w:pStyle w:val="Compact"/>
              <w:jc w:val="left"/>
            </w:pPr>
            <w:r>
              <w:rPr>
                <w:color w:val="7030A0"/>
                <w:sz w:val="18"/>
              </w:rPr>
              <w:t xml:space="preserve">Rail-mounted and automated stacking cranes</w:t>
            </w:r>
          </w:p>
        </w:tc>
        <w:tc>
          <w:tcPr/>
          <w:p>
            <w:pPr>
              <w:pStyle w:val="Compact"/>
              <w:jc w:val="left"/>
            </w:pPr>
            <w:r>
              <w:rPr>
                <w:color w:val="7030A0"/>
                <w:sz w:val="18"/>
              </w:rPr>
              <w:t xml:space="preserve">Rubber-tyred gantries; straddle carriers</w:t>
            </w:r>
          </w:p>
        </w:tc>
        <w:tc>
          <w:tcPr/>
          <w:p>
            <w:pPr>
              <w:pStyle w:val="Compact"/>
              <w:jc w:val="left"/>
            </w:pPr>
            <w:r>
              <w:rPr>
                <w:color w:val="7030A0"/>
                <w:sz w:val="18"/>
              </w:rPr>
              <w:t xml:space="preserve">Denser stacking; less labour</w:t>
            </w:r>
          </w:p>
        </w:tc>
        <w:tc>
          <w:tcPr/>
          <w:p>
            <w:pPr>
              <w:pStyle w:val="Compact"/>
              <w:jc w:val="left"/>
            </w:pPr>
            <w:r>
              <w:rPr>
                <w:color w:val="7030A0"/>
                <w:sz w:val="18"/>
              </w:rPr>
              <w:t xml:space="preserve">Carlo et al. (2014a); Kemme (2013)</w:t>
            </w:r>
          </w:p>
        </w:tc>
      </w:tr>
      <w:tr>
        <w:tc>
          <w:tcPr/>
          <w:p>
            <w:pPr>
              <w:pStyle w:val="Compact"/>
            </w:pPr>
          </w:p>
        </w:tc>
        <w:tc>
          <w:tcPr/>
          <w:p>
            <w:pPr>
              <w:pStyle w:val="Compact"/>
              <w:jc w:val="left"/>
            </w:pPr>
            <w:r>
              <w:rPr>
                <w:color w:val="7030A0"/>
                <w:sz w:val="18"/>
              </w:rPr>
              <w:t xml:space="preserve">Twin and double (passing) yard cranes</w:t>
            </w:r>
          </w:p>
        </w:tc>
        <w:tc>
          <w:tcPr/>
          <w:p>
            <w:pPr>
              <w:pStyle w:val="Compact"/>
              <w:jc w:val="left"/>
            </w:pPr>
            <w:r>
              <w:rPr>
                <w:color w:val="7030A0"/>
                <w:sz w:val="18"/>
              </w:rPr>
              <w:t xml:space="preserve">One crane per block</w:t>
            </w:r>
          </w:p>
        </w:tc>
        <w:tc>
          <w:tcPr/>
          <w:p>
            <w:pPr>
              <w:pStyle w:val="Compact"/>
              <w:jc w:val="left"/>
            </w:pPr>
            <w:r>
              <w:rPr>
                <w:color w:val="7030A0"/>
                <w:sz w:val="18"/>
              </w:rPr>
              <w:t xml:space="preserve">Higher capacity per block</w:t>
            </w:r>
          </w:p>
        </w:tc>
        <w:tc>
          <w:tcPr/>
          <w:p>
            <w:pPr>
              <w:pStyle w:val="Compact"/>
              <w:jc w:val="left"/>
            </w:pPr>
            <w:r>
              <w:rPr>
                <w:color w:val="7030A0"/>
                <w:sz w:val="18"/>
              </w:rPr>
              <w:t xml:space="preserve">Gharehgozli et al. (2017); Zhang et al. (2024)</w:t>
            </w:r>
          </w:p>
        </w:tc>
      </w:tr>
      <w:tr>
        <w:tc>
          <w:tcPr/>
          <w:p>
            <w:pPr>
              <w:pStyle w:val="Compact"/>
            </w:pPr>
          </w:p>
        </w:tc>
        <w:tc>
          <w:tcPr/>
          <w:p>
            <w:pPr>
              <w:pStyle w:val="Compact"/>
              <w:jc w:val="left"/>
            </w:pPr>
            <w:r>
              <w:rPr>
                <w:color w:val="7030A0"/>
                <w:sz w:val="18"/>
              </w:rPr>
              <w:t xml:space="preserve">Electrified rubber-tyred gantries</w:t>
            </w:r>
          </w:p>
        </w:tc>
        <w:tc>
          <w:tcPr/>
          <w:p>
            <w:pPr>
              <w:pStyle w:val="Compact"/>
              <w:jc w:val="left"/>
            </w:pPr>
            <w:r>
              <w:rPr>
                <w:color w:val="7030A0"/>
                <w:sz w:val="18"/>
              </w:rPr>
              <w:t xml:space="preserve">Diesel rubber-tyred gantries</w:t>
            </w:r>
          </w:p>
        </w:tc>
        <w:tc>
          <w:tcPr/>
          <w:p>
            <w:pPr>
              <w:pStyle w:val="Compact"/>
              <w:jc w:val="left"/>
            </w:pPr>
            <w:r>
              <w:rPr>
                <w:color w:val="7030A0"/>
                <w:sz w:val="18"/>
              </w:rPr>
              <w:t xml:space="preserve">Lower energy use and emissions</w:t>
            </w:r>
          </w:p>
        </w:tc>
        <w:tc>
          <w:tcPr/>
          <w:p>
            <w:pPr>
              <w:pStyle w:val="Compact"/>
              <w:jc w:val="left"/>
            </w:pPr>
            <w:r>
              <w:rPr>
                <w:color w:val="7030A0"/>
                <w:sz w:val="18"/>
              </w:rPr>
              <w:t xml:space="preserve">Martínez-Moya et al. (2019); Yang &amp; Chang (2013)</w:t>
            </w:r>
          </w:p>
        </w:tc>
      </w:tr>
      <w:tr>
        <w:tc>
          <w:tcPr/>
          <w:p>
            <w:pPr>
              <w:pStyle w:val="Compact"/>
              <w:jc w:val="left"/>
            </w:pPr>
            <w:r>
              <w:rPr>
                <w:color w:val="7030A0"/>
                <w:sz w:val="18"/>
              </w:rPr>
              <w:t xml:space="preserve">Landside</w:t>
            </w:r>
          </w:p>
        </w:tc>
        <w:tc>
          <w:tcPr/>
          <w:p>
            <w:pPr>
              <w:pStyle w:val="Compact"/>
              <w:jc w:val="left"/>
            </w:pPr>
            <w:r>
              <w:rPr>
                <w:color w:val="7030A0"/>
                <w:sz w:val="18"/>
              </w:rPr>
              <w:t xml:space="preserve">Gate automation with OCR and camera inspection</w:t>
            </w:r>
          </w:p>
        </w:tc>
        <w:tc>
          <w:tcPr/>
          <w:p>
            <w:pPr>
              <w:pStyle w:val="Compact"/>
              <w:jc w:val="left"/>
            </w:pPr>
            <w:r>
              <w:rPr>
                <w:color w:val="7030A0"/>
                <w:sz w:val="18"/>
              </w:rPr>
              <w:t xml:space="preserve">Manual gate checks</w:t>
            </w:r>
          </w:p>
        </w:tc>
        <w:tc>
          <w:tcPr/>
          <w:p>
            <w:pPr>
              <w:pStyle w:val="Compact"/>
              <w:jc w:val="left"/>
            </w:pPr>
            <w:r>
              <w:rPr>
                <w:color w:val="7030A0"/>
                <w:sz w:val="18"/>
              </w:rPr>
              <w:t xml:space="preserve">Automated identification and inspection</w:t>
            </w:r>
          </w:p>
        </w:tc>
        <w:tc>
          <w:tcPr/>
          <w:p>
            <w:pPr>
              <w:pStyle w:val="Compact"/>
              <w:jc w:val="left"/>
            </w:pPr>
            <w:r>
              <w:rPr>
                <w:color w:val="7030A0"/>
                <w:sz w:val="18"/>
              </w:rPr>
              <w:t xml:space="preserve">Heilig et al. (2020)</w:t>
            </w:r>
          </w:p>
        </w:tc>
      </w:tr>
      <w:tr>
        <w:tc>
          <w:tcPr/>
          <w:p>
            <w:pPr>
              <w:pStyle w:val="Compact"/>
            </w:pPr>
          </w:p>
        </w:tc>
        <w:tc>
          <w:tcPr/>
          <w:p>
            <w:pPr>
              <w:pStyle w:val="Compact"/>
              <w:jc w:val="left"/>
            </w:pPr>
            <w:r>
              <w:rPr>
                <w:color w:val="7030A0"/>
                <w:sz w:val="18"/>
              </w:rPr>
              <w:t xml:space="preserve">Truck appointment systems</w:t>
            </w:r>
          </w:p>
        </w:tc>
        <w:tc>
          <w:tcPr/>
          <w:p>
            <w:pPr>
              <w:pStyle w:val="Compact"/>
              <w:jc w:val="left"/>
            </w:pPr>
            <w:r>
              <w:rPr>
                <w:color w:val="7030A0"/>
                <w:sz w:val="18"/>
              </w:rPr>
              <w:t xml:space="preserve">Unscheduled truck arrivals</w:t>
            </w:r>
          </w:p>
        </w:tc>
        <w:tc>
          <w:tcPr/>
          <w:p>
            <w:pPr>
              <w:pStyle w:val="Compact"/>
              <w:jc w:val="left"/>
            </w:pPr>
            <w:r>
              <w:rPr>
                <w:color w:val="7030A0"/>
                <w:sz w:val="18"/>
              </w:rPr>
              <w:t xml:space="preserve">Spread arrivals; effect varies</w:t>
            </w:r>
          </w:p>
        </w:tc>
        <w:tc>
          <w:tcPr/>
          <w:p>
            <w:pPr>
              <w:pStyle w:val="Compact"/>
              <w:jc w:val="left"/>
            </w:pPr>
            <w:r>
              <w:rPr>
                <w:color w:val="7030A0"/>
                <w:sz w:val="18"/>
              </w:rPr>
              <w:t xml:space="preserve">Giuliano &amp; O’Brien (2007)</w:t>
            </w:r>
          </w:p>
        </w:tc>
      </w:tr>
      <w:tr>
        <w:tc>
          <w:tcPr/>
          <w:p>
            <w:pPr>
              <w:pStyle w:val="Compact"/>
            </w:pPr>
          </w:p>
        </w:tc>
        <w:tc>
          <w:tcPr/>
          <w:p>
            <w:pPr>
              <w:pStyle w:val="Compact"/>
              <w:jc w:val="left"/>
            </w:pPr>
            <w:r>
              <w:rPr>
                <w:color w:val="7030A0"/>
                <w:sz w:val="18"/>
              </w:rPr>
              <w:t xml:space="preserve">Extended gate</w:t>
            </w:r>
          </w:p>
        </w:tc>
        <w:tc>
          <w:tcPr/>
          <w:p>
            <w:pPr>
              <w:pStyle w:val="Compact"/>
              <w:jc w:val="left"/>
            </w:pPr>
            <w:r>
              <w:rPr>
                <w:color w:val="7030A0"/>
                <w:sz w:val="18"/>
              </w:rPr>
              <w:t xml:space="preserve">Separate inland terminals</w:t>
            </w:r>
          </w:p>
        </w:tc>
        <w:tc>
          <w:tcPr/>
          <w:p>
            <w:pPr>
              <w:pStyle w:val="Compact"/>
              <w:jc w:val="left"/>
            </w:pPr>
            <w:r>
              <w:rPr>
                <w:color w:val="7030A0"/>
                <w:sz w:val="18"/>
              </w:rPr>
              <w:t xml:space="preserve">Integrated inland flows</w:t>
            </w:r>
          </w:p>
        </w:tc>
        <w:tc>
          <w:tcPr/>
          <w:p>
            <w:pPr>
              <w:pStyle w:val="Compact"/>
              <w:jc w:val="left"/>
            </w:pPr>
            <w:r>
              <w:rPr>
                <w:color w:val="7030A0"/>
                <w:sz w:val="18"/>
              </w:rPr>
              <w:t xml:space="preserve">Veenstra et al. (2012)</w:t>
            </w:r>
          </w:p>
        </w:tc>
      </w:tr>
      <w:tr>
        <w:tc>
          <w:tcPr/>
          <w:p>
            <w:pPr>
              <w:pStyle w:val="Compact"/>
              <w:jc w:val="left"/>
            </w:pPr>
            <w:r>
              <w:rPr>
                <w:color w:val="7030A0"/>
                <w:sz w:val="18"/>
              </w:rPr>
              <w:t xml:space="preserve">Terminal-wide</w:t>
            </w:r>
          </w:p>
        </w:tc>
        <w:tc>
          <w:tcPr/>
          <w:p>
            <w:pPr>
              <w:pStyle w:val="Compact"/>
              <w:jc w:val="left"/>
            </w:pPr>
            <w:r>
              <w:rPr>
                <w:color w:val="7030A0"/>
                <w:sz w:val="18"/>
              </w:rPr>
              <w:t xml:space="preserve">Terminal operating and information systems</w:t>
            </w:r>
          </w:p>
        </w:tc>
        <w:tc>
          <w:tcPr/>
          <w:p>
            <w:pPr>
              <w:pStyle w:val="Compact"/>
              <w:jc w:val="left"/>
            </w:pPr>
            <w:r>
              <w:rPr>
                <w:color w:val="7030A0"/>
                <w:sz w:val="18"/>
              </w:rPr>
              <w:t xml:space="preserve">Manual or stand-alone planning</w:t>
            </w:r>
          </w:p>
        </w:tc>
        <w:tc>
          <w:tcPr/>
          <w:p>
            <w:pPr>
              <w:pStyle w:val="Compact"/>
              <w:jc w:val="left"/>
            </w:pPr>
            <w:r>
              <w:rPr>
                <w:color w:val="7030A0"/>
                <w:sz w:val="18"/>
              </w:rPr>
              <w:t xml:space="preserve">Integrated planning and control</w:t>
            </w:r>
          </w:p>
        </w:tc>
        <w:tc>
          <w:tcPr/>
          <w:p>
            <w:pPr>
              <w:pStyle w:val="Compact"/>
              <w:jc w:val="left"/>
            </w:pPr>
            <w:r>
              <w:rPr>
                <w:color w:val="7030A0"/>
                <w:sz w:val="18"/>
              </w:rPr>
              <w:t xml:space="preserve">Heilig &amp; Voß (2017)</w:t>
            </w:r>
          </w:p>
        </w:tc>
      </w:tr>
      <w:tr>
        <w:tc>
          <w:tcPr/>
          <w:p>
            <w:pPr>
              <w:pStyle w:val="Compact"/>
            </w:pPr>
          </w:p>
        </w:tc>
        <w:tc>
          <w:tcPr/>
          <w:p>
            <w:pPr>
              <w:pStyle w:val="Compact"/>
              <w:jc w:val="left"/>
            </w:pPr>
            <w:r>
              <w:rPr>
                <w:color w:val="7030A0"/>
                <w:sz w:val="18"/>
              </w:rPr>
              <w:t xml:space="preserve">Energy storage and energy management systems</w:t>
            </w:r>
          </w:p>
        </w:tc>
        <w:tc>
          <w:tcPr/>
          <w:p>
            <w:pPr>
              <w:pStyle w:val="Compact"/>
              <w:jc w:val="left"/>
            </w:pPr>
            <w:r>
              <w:rPr>
                <w:color w:val="7030A0"/>
                <w:sz w:val="18"/>
              </w:rPr>
              <w:t xml:space="preserve">Unmanaged energy use</w:t>
            </w:r>
          </w:p>
        </w:tc>
        <w:tc>
          <w:tcPr/>
          <w:p>
            <w:pPr>
              <w:pStyle w:val="Compact"/>
              <w:jc w:val="left"/>
            </w:pPr>
            <w:r>
              <w:rPr>
                <w:color w:val="7030A0"/>
                <w:sz w:val="18"/>
              </w:rPr>
              <w:t xml:space="preserve">Lower energy use and peak demand</w:t>
            </w:r>
          </w:p>
        </w:tc>
        <w:tc>
          <w:tcPr/>
          <w:p>
            <w:pPr>
              <w:pStyle w:val="Compact"/>
              <w:jc w:val="left"/>
            </w:pPr>
            <w:r>
              <w:rPr>
                <w:color w:val="7030A0"/>
                <w:sz w:val="18"/>
              </w:rPr>
              <w:t xml:space="preserve">Iris &amp; Lam (2019)</w:t>
            </w:r>
          </w:p>
        </w:tc>
      </w:tr>
    </w:tbl>
    <w:p>
      <w:pPr>
        <w:pStyle w:val="BodyText"/>
      </w:pPr>
      <w:r>
        <w:rPr>
          <w:iCs/>
          <w:i/>
          <w:color w:val="7030A0"/>
        </w:rPr>
        <w:t xml:space="preserve">Source:</w:t>
      </w:r>
      <w:r>
        <w:rPr>
          <w:color w:val="7030A0"/>
        </w:rPr>
        <w:t xml:space="preserve"> </w:t>
      </w:r>
      <w:r>
        <w:rPr>
          <w:color w:val="7030A0"/>
        </w:rPr>
        <w:t xml:space="preserve">The candidate compiled from the studies listed in the table, extending Gharehgozli et al. (2016).</w:t>
      </w:r>
    </w:p>
    <w:p>
      <w:pPr>
        <w:pStyle w:val="BodyText"/>
      </w:pPr>
      <w:r>
        <w:rPr>
          <w:color w:val="7030A0"/>
        </w:rPr>
        <w:t xml:space="preserve">These improvements show the two characteristics of technology discussed in Section 2.1.2. They are heterogeneous, ranging from mechanical upgrades of cranes to information and energy systems, and most of them are embodied in equipment, so their adoption usually takes the form of investment in new or retrofitted machines. Chapter 5 examines two of the most important items in Table 3, ship-to-shore cranes and yard gantry cranes. Table 4 complements Table 3 by summarising emerging technologies that are new to ports rather than upgrades of established terminal equipment. Where the two overlap, as with automation and electrification, Table 3 records the improvement at the level of specific terminal equipment, and Table 4 records the broader class of technology.</w:t>
      </w:r>
    </w:p>
    <w:p>
      <w:pPr>
        <w:pStyle w:val="BlockText"/>
      </w:pPr>
      <w:r>
        <w:rPr>
          <w:iCs/>
          <w:i/>
          <w:color w:val="606060"/>
        </w:rPr>
        <w:t xml:space="preserve">Your Table 4 includes</w:t>
      </w:r>
      <w:r>
        <w:rPr>
          <w:iCs/>
          <w:i/>
          <w:color w:val="606060"/>
        </w:rPr>
        <w:t xml:space="preserve"> </w:t>
      </w:r>
      <w:r>
        <w:rPr>
          <w:iCs/>
          <w:i/>
          <w:color w:val="606060"/>
        </w:rPr>
        <w:t xml:space="preserve">“</w:t>
      </w:r>
      <w:r>
        <w:rPr>
          <w:iCs/>
          <w:i/>
          <w:color w:val="606060"/>
        </w:rPr>
        <w:t xml:space="preserve">Autonomous equipment</w:t>
      </w:r>
      <w:r>
        <w:rPr>
          <w:iCs/>
          <w:i/>
          <w:color w:val="606060"/>
        </w:rPr>
        <w:t xml:space="preserve">”</w:t>
      </w:r>
      <w:r>
        <w:rPr>
          <w:iCs/>
          <w:i/>
          <w:color w:val="606060"/>
        </w:rPr>
        <w:t xml:space="preserve"> </w:t>
      </w:r>
      <w:r>
        <w:rPr>
          <w:iCs/>
          <w:i/>
          <w:color w:val="606060"/>
        </w:rPr>
        <w:t xml:space="preserve">and</w:t>
      </w:r>
      <w:r>
        <w:rPr>
          <w:iCs/>
          <w:i/>
          <w:color w:val="606060"/>
        </w:rPr>
        <w:t xml:space="preserve"> </w:t>
      </w:r>
      <w:r>
        <w:rPr>
          <w:iCs/>
          <w:i/>
          <w:color w:val="606060"/>
        </w:rPr>
        <w:t xml:space="preserve">“</w:t>
      </w:r>
      <w:r>
        <w:rPr>
          <w:iCs/>
          <w:i/>
          <w:color w:val="606060"/>
        </w:rPr>
        <w:t xml:space="preserve">Electrification and alternative-fuelled equipment</w:t>
      </w:r>
      <w:r>
        <w:rPr>
          <w:iCs/>
          <w:i/>
          <w:color w:val="606060"/>
        </w:rPr>
        <w:t xml:space="preserve">”</w:t>
      </w:r>
      <w:r>
        <w:rPr>
          <w:iCs/>
          <w:i/>
          <w:color w:val="606060"/>
        </w:rPr>
        <w:t xml:space="preserve">. The last paragraph above explains the overlap, so no change to Table 4 is needed. If you prefer to remove the overlap altogether, the Table 4 rows could be narrowed to</w:t>
      </w:r>
      <w:r>
        <w:rPr>
          <w:iCs/>
          <w:i/>
          <w:color w:val="606060"/>
        </w:rPr>
        <w:t xml:space="preserve"> </w:t>
      </w:r>
      <w:r>
        <w:rPr>
          <w:iCs/>
          <w:i/>
          <w:color w:val="606060"/>
        </w:rPr>
        <w:t xml:space="preserve">“</w:t>
      </w:r>
      <w:r>
        <w:rPr>
          <w:iCs/>
          <w:i/>
          <w:color w:val="606060"/>
        </w:rPr>
        <w:t xml:space="preserve">Autonomous vehicles and drones</w:t>
      </w:r>
      <w:r>
        <w:rPr>
          <w:iCs/>
          <w:i/>
          <w:color w:val="606060"/>
        </w:rPr>
        <w:t xml:space="preserve">”</w:t>
      </w:r>
      <w:r>
        <w:rPr>
          <w:iCs/>
          <w:i/>
          <w:color w:val="606060"/>
        </w:rPr>
        <w:t xml:space="preserve"> </w:t>
      </w:r>
      <w:r>
        <w:rPr>
          <w:iCs/>
          <w:i/>
          <w:color w:val="606060"/>
        </w:rPr>
        <w:t xml:space="preserve">and</w:t>
      </w:r>
      <w:r>
        <w:rPr>
          <w:iCs/>
          <w:i/>
          <w:color w:val="606060"/>
        </w:rPr>
        <w:t xml:space="preserve"> </w:t>
      </w:r>
      <w:r>
        <w:rPr>
          <w:iCs/>
          <w:i/>
          <w:color w:val="606060"/>
        </w:rPr>
        <w:t xml:space="preserve">“</w:t>
      </w:r>
      <w:r>
        <w:rPr>
          <w:iCs/>
          <w:i/>
          <w:color w:val="606060"/>
        </w:rPr>
        <w:t xml:space="preserve">Alternative-fuelled and hydrogen equipment</w:t>
      </w:r>
      <w:r>
        <w:rPr>
          <w:iCs/>
          <w:i/>
          <w:color w:val="606060"/>
        </w:rPr>
        <w:t xml:space="preserve">”</w:t>
      </w:r>
      <w:r>
        <w:rPr>
          <w:iCs/>
          <w:i/>
          <w:color w:val="606060"/>
        </w:rPr>
        <w:t xml:space="preserve">, but this is optional.</w:t>
      </w:r>
    </w:p>
    <w:bookmarkEnd w:id="20"/>
    <w:bookmarkStart w:id="21" w:name="part-b-draft-response-to-the-examiner"/>
    <w:p>
      <w:pPr>
        <w:pStyle w:val="Heading1"/>
      </w:pPr>
      <w:r>
        <w:t xml:space="preserve">PART B — DRAFT RESPONSE TO THE EXAMINER</w:t>
      </w:r>
    </w:p>
    <w:p>
      <w:pPr>
        <w:pStyle w:val="BlockText"/>
      </w:pPr>
      <w:r>
        <w:rPr>
          <w:iCs/>
          <w:i/>
          <w:color w:val="606060"/>
        </w:rPr>
        <w:t xml:space="preserve">To be placed in the Examiner 4 response letter. Page numbers will be added once the revised thesis is paginated.</w:t>
      </w:r>
    </w:p>
    <w:p>
      <w:pPr>
        <w:pStyle w:val="FirstParagraph"/>
      </w:pPr>
      <w:r>
        <w:rPr>
          <w:color w:val="7030A0"/>
        </w:rPr>
        <w:t xml:space="preserve">We thank the examiner for this suggestion. We considered merging Tables 3 and 4, but decided to keep them separate because they serve different purposes, following the distinction between improvement and innovation drawn in Section 2.1.1 (Acciaro et al., 2014; Wang et al., 2017). Table 3 now summarises improvements to established container-terminal equipment and systems, organised by terminal subsystem, whereas Table 4 summarises emerging technologies that are new to ports. We agree that the original Table 3 was too limited. It has been expanded from 7 to 15 technologies, covering seaside operations, horizontal transport, the yard, landside operations and terminal-wide systems, based on additional literature on container terminal equipment and operations (e.g., Carlo et al., 2014a, 2014b; Chao &amp; Lin, 2011; Heilig &amp; Voß, 2017; Iris &amp; Lam, 2019; Kong et al., 2021; Veenstra et al., 2012). The surrounding text in Section 2.3 has been rewritten to discuss the improvements in each subsystem, to explain how Table 3 relates to Table 4, and to link the table to the cranes analysed in Chapter 5.</w:t>
      </w:r>
    </w:p>
    <w:bookmarkEnd w:id="21"/>
    <w:bookmarkStart w:id="22" w:name="references"/>
    <w:p>
      <w:pPr>
        <w:pStyle w:val="Heading1"/>
      </w:pPr>
      <w:r>
        <w:t xml:space="preserve">REFERENCES</w:t>
      </w:r>
    </w:p>
    <w:p>
      <w:pPr>
        <w:pStyle w:val="BlockText"/>
      </w:pPr>
      <w:r>
        <w:rPr>
          <w:iCs/>
          <w:i/>
          <w:color w:val="606060"/>
        </w:rPr>
        <w:t xml:space="preserve">New entries to add to the reference list (APA 7). † = already in your list. ‡ = a detail I could not confirm (stated after the entry).</w:t>
      </w:r>
    </w:p>
    <w:p>
      <w:pPr>
        <w:pStyle w:val="FirstParagraph"/>
      </w:pPr>
      <w:r>
        <w:rPr>
          <w:color w:val="7030A0"/>
        </w:rPr>
        <w:t xml:space="preserve">Acciaro, M., Vanelslander, T., Sys, C., Ferrari, C., Roumboutsos, A., Giuliano, G., Lam, J. S. L., &amp; Kapros, S. (2014). Environmental sustainability in seaports: A framework for successful innovation.</w:t>
      </w:r>
      <w:r>
        <w:rPr>
          <w:color w:val="7030A0"/>
        </w:rPr>
        <w:t xml:space="preserve"> </w:t>
      </w:r>
      <w:r>
        <w:rPr>
          <w:iCs/>
          <w:i/>
          <w:color w:val="7030A0"/>
        </w:rPr>
        <w:t xml:space="preserve">Maritime Policy &amp; Management, 41</w:t>
      </w:r>
      <w:r>
        <w:rPr>
          <w:color w:val="7030A0"/>
        </w:rPr>
        <w:t xml:space="preserve">(5), 480–500. https://doi.org/10.1080/03088839.2014.932926 †</w:t>
      </w:r>
    </w:p>
    <w:p>
      <w:pPr>
        <w:pStyle w:val="BodyText"/>
      </w:pPr>
      <w:r>
        <w:rPr>
          <w:color w:val="7030A0"/>
        </w:rPr>
        <w:t xml:space="preserve">Carlo, H. J., Vis, I. F. A., &amp; Roodbergen, K. J. (2014a). Storage yard operations in container terminals: Literature overview, trends, and research directions.</w:t>
      </w:r>
      <w:r>
        <w:rPr>
          <w:color w:val="7030A0"/>
        </w:rPr>
        <w:t xml:space="preserve"> </w:t>
      </w:r>
      <w:r>
        <w:rPr>
          <w:iCs/>
          <w:i/>
          <w:color w:val="7030A0"/>
        </w:rPr>
        <w:t xml:space="preserve">European Journal of Operational Research, 235</w:t>
      </w:r>
      <w:r>
        <w:rPr>
          <w:color w:val="7030A0"/>
        </w:rPr>
        <w:t xml:space="preserve">(2), 412–430. https://doi.org/10.1016/j.ejor.2013.10.054</w:t>
      </w:r>
    </w:p>
    <w:p>
      <w:pPr>
        <w:pStyle w:val="BodyText"/>
      </w:pPr>
      <w:r>
        <w:rPr>
          <w:color w:val="7030A0"/>
        </w:rPr>
        <w:t xml:space="preserve">Carlo, H. J., Vis, I. F. A., &amp; Roodbergen, K. J. (2014b). Transport operations in container terminals: Literature overview, trends, research directions and classification scheme.</w:t>
      </w:r>
      <w:r>
        <w:rPr>
          <w:color w:val="7030A0"/>
        </w:rPr>
        <w:t xml:space="preserve"> </w:t>
      </w:r>
      <w:r>
        <w:rPr>
          <w:iCs/>
          <w:i/>
          <w:color w:val="7030A0"/>
        </w:rPr>
        <w:t xml:space="preserve">European Journal of Operational Research, 236</w:t>
      </w:r>
      <w:r>
        <w:rPr>
          <w:color w:val="7030A0"/>
        </w:rPr>
        <w:t xml:space="preserve">(1), 1–13. https://doi.org/10.1016/j.ejor.2013.11.023</w:t>
      </w:r>
    </w:p>
    <w:p>
      <w:pPr>
        <w:pStyle w:val="BodyText"/>
      </w:pPr>
      <w:r>
        <w:rPr>
          <w:color w:val="7030A0"/>
        </w:rPr>
        <w:t xml:space="preserve">Chao, S.-L., &amp; Lin, Y.-J. (2011). Evaluating advanced quay cranes in container terminals.</w:t>
      </w:r>
      <w:r>
        <w:rPr>
          <w:color w:val="7030A0"/>
        </w:rPr>
        <w:t xml:space="preserve"> </w:t>
      </w:r>
      <w:r>
        <w:rPr>
          <w:iCs/>
          <w:i/>
          <w:color w:val="7030A0"/>
        </w:rPr>
        <w:t xml:space="preserve">Transportation Research Part E: Logistics and Transportation Review, 47</w:t>
      </w:r>
      <w:r>
        <w:rPr>
          <w:color w:val="7030A0"/>
        </w:rPr>
        <w:t xml:space="preserve">(4), 432–445. https://doi.org/10.1016/j.tre.2010.12.002</w:t>
      </w:r>
    </w:p>
    <w:p>
      <w:pPr>
        <w:pStyle w:val="BodyText"/>
      </w:pPr>
      <w:r>
        <w:rPr>
          <w:color w:val="7030A0"/>
        </w:rPr>
        <w:t xml:space="preserve">Cheon, S., Dowall, D. E., &amp; Song, D.-W. (2010). Evaluating impacts of institutional reforms on port efficiency changes: Ownership, corporate structure, and total factor productivity changes of world container ports.</w:t>
      </w:r>
      <w:r>
        <w:rPr>
          <w:color w:val="7030A0"/>
        </w:rPr>
        <w:t xml:space="preserve"> </w:t>
      </w:r>
      <w:r>
        <w:rPr>
          <w:iCs/>
          <w:i/>
          <w:color w:val="7030A0"/>
        </w:rPr>
        <w:t xml:space="preserve">Transportation Research Part E: Logistics and Transportation Review, 46</w:t>
      </w:r>
      <w:r>
        <w:rPr>
          <w:color w:val="7030A0"/>
        </w:rPr>
        <w:t xml:space="preserve">(4), 546–561. https://doi.org/10.1016/j.tre.2009.04.001 †</w:t>
      </w:r>
    </w:p>
    <w:p>
      <w:pPr>
        <w:pStyle w:val="BodyText"/>
      </w:pPr>
      <w:r>
        <w:rPr>
          <w:color w:val="7030A0"/>
        </w:rPr>
        <w:t xml:space="preserve">Gharehgozli, A. H., Roy, D., &amp; de Koster, R. (2016). Sea container terminals: New technologies and OR models.</w:t>
      </w:r>
      <w:r>
        <w:rPr>
          <w:color w:val="7030A0"/>
        </w:rPr>
        <w:t xml:space="preserve"> </w:t>
      </w:r>
      <w:r>
        <w:rPr>
          <w:iCs/>
          <w:i/>
          <w:color w:val="7030A0"/>
        </w:rPr>
        <w:t xml:space="preserve">Maritime Economics &amp; Logistics, 18</w:t>
      </w:r>
      <w:r>
        <w:rPr>
          <w:color w:val="7030A0"/>
        </w:rPr>
        <w:t xml:space="preserve">(2), 103–140. https://doi.org/10.1057/mel.2015.3 †</w:t>
      </w:r>
    </w:p>
    <w:p>
      <w:pPr>
        <w:pStyle w:val="BodyText"/>
      </w:pPr>
      <w:r>
        <w:rPr>
          <w:color w:val="7030A0"/>
        </w:rPr>
        <w:t xml:space="preserve">Gharehgozli, A. H., Vernooij, F. G., &amp; Zaerpour, N. (2017). A simulation study of the performance of twin automated stacking cranes at a seaport container terminal.</w:t>
      </w:r>
      <w:r>
        <w:rPr>
          <w:color w:val="7030A0"/>
        </w:rPr>
        <w:t xml:space="preserve"> </w:t>
      </w:r>
      <w:r>
        <w:rPr>
          <w:iCs/>
          <w:i/>
          <w:color w:val="7030A0"/>
        </w:rPr>
        <w:t xml:space="preserve">European Journal of Operational Research, 261</w:t>
      </w:r>
      <w:r>
        <w:rPr>
          <w:color w:val="7030A0"/>
        </w:rPr>
        <w:t xml:space="preserve">(1), 108–128. https://doi.org/10.1016/j.ejor.2017.01.037 ‡ (second author’s initials)</w:t>
      </w:r>
    </w:p>
    <w:p>
      <w:pPr>
        <w:pStyle w:val="BodyText"/>
      </w:pPr>
      <w:r>
        <w:rPr>
          <w:color w:val="7030A0"/>
        </w:rPr>
        <w:t xml:space="preserve">Giuliano, G., &amp; O’Brien, T. (2007). Reducing port-related truck emissions: The terminal gate appointment system at the Ports of Los Angeles and Long Beach.</w:t>
      </w:r>
      <w:r>
        <w:rPr>
          <w:color w:val="7030A0"/>
        </w:rPr>
        <w:t xml:space="preserve"> </w:t>
      </w:r>
      <w:r>
        <w:rPr>
          <w:iCs/>
          <w:i/>
          <w:color w:val="7030A0"/>
        </w:rPr>
        <w:t xml:space="preserve">Transportation Research Part D: Transport and Environment, 12</w:t>
      </w:r>
      <w:r>
        <w:rPr>
          <w:color w:val="7030A0"/>
        </w:rPr>
        <w:t xml:space="preserve">(7), 460–473. https://doi.org/10.1016/j.trd.2007.06.004 ‡ (one record gives the last page as 470)</w:t>
      </w:r>
    </w:p>
    <w:p>
      <w:pPr>
        <w:pStyle w:val="BodyText"/>
      </w:pPr>
      <w:r>
        <w:rPr>
          <w:color w:val="7030A0"/>
        </w:rPr>
        <w:t xml:space="preserve">Heilig, L., Stahlbock, R., &amp; Voß, S. (2020). From digitalization to data-driven decision making in container terminals. In J. W. Böse (Ed.),</w:t>
      </w:r>
      <w:r>
        <w:rPr>
          <w:color w:val="7030A0"/>
        </w:rPr>
        <w:t xml:space="preserve"> </w:t>
      </w:r>
      <w:r>
        <w:rPr>
          <w:iCs/>
          <w:i/>
          <w:color w:val="7030A0"/>
        </w:rPr>
        <w:t xml:space="preserve">Handbook of terminal planning</w:t>
      </w:r>
      <w:r>
        <w:rPr>
          <w:color w:val="7030A0"/>
        </w:rPr>
        <w:t xml:space="preserve"> </w:t>
      </w:r>
      <w:r>
        <w:rPr>
          <w:color w:val="7030A0"/>
        </w:rPr>
        <w:t xml:space="preserve">(2nd ed., pp. [ ]). Springer. https://doi.org/10.1007/978-3-030-39990-0_6 ‡ (page range not found; please check the chapter number against the DOI)</w:t>
      </w:r>
    </w:p>
    <w:p>
      <w:pPr>
        <w:pStyle w:val="BodyText"/>
      </w:pPr>
      <w:r>
        <w:rPr>
          <w:color w:val="7030A0"/>
        </w:rPr>
        <w:t xml:space="preserve">Heilig, L., &amp; Voß, S. (2017). Information systems in seaports: A categorization and overview.</w:t>
      </w:r>
      <w:r>
        <w:rPr>
          <w:color w:val="7030A0"/>
        </w:rPr>
        <w:t xml:space="preserve"> </w:t>
      </w:r>
      <w:r>
        <w:rPr>
          <w:iCs/>
          <w:i/>
          <w:color w:val="7030A0"/>
        </w:rPr>
        <w:t xml:space="preserve">Information Technology and Management, 18</w:t>
      </w:r>
      <w:r>
        <w:rPr>
          <w:color w:val="7030A0"/>
        </w:rPr>
        <w:t xml:space="preserve">(3), 179–201. https://doi.org/10.1007/s10799-016-0269-1</w:t>
      </w:r>
    </w:p>
    <w:p>
      <w:pPr>
        <w:pStyle w:val="BodyText"/>
      </w:pPr>
      <w:r>
        <w:rPr>
          <w:color w:val="7030A0"/>
        </w:rPr>
        <w:t xml:space="preserve">Iris, Ç., &amp; Lam, J. S. L. (2019). A review of energy efficiency in ports: Operational strategies, technologies and energy management systems.</w:t>
      </w:r>
      <w:r>
        <w:rPr>
          <w:color w:val="7030A0"/>
        </w:rPr>
        <w:t xml:space="preserve"> </w:t>
      </w:r>
      <w:r>
        <w:rPr>
          <w:iCs/>
          <w:i/>
          <w:color w:val="7030A0"/>
        </w:rPr>
        <w:t xml:space="preserve">Renewable and Sustainable Energy Reviews, 112</w:t>
      </w:r>
      <w:r>
        <w:rPr>
          <w:color w:val="7030A0"/>
        </w:rPr>
        <w:t xml:space="preserve">, 170–182. https://doi.org/10.1016/j.rser.2019.04.069</w:t>
      </w:r>
    </w:p>
    <w:p>
      <w:pPr>
        <w:pStyle w:val="BodyText"/>
      </w:pPr>
      <w:r>
        <w:rPr>
          <w:color w:val="7030A0"/>
        </w:rPr>
        <w:t xml:space="preserve">Kemme, N. (2013).</w:t>
      </w:r>
      <w:r>
        <w:rPr>
          <w:color w:val="7030A0"/>
        </w:rPr>
        <w:t xml:space="preserve"> </w:t>
      </w:r>
      <w:r>
        <w:rPr>
          <w:iCs/>
          <w:i/>
          <w:color w:val="7030A0"/>
        </w:rPr>
        <w:t xml:space="preserve">Design and operation of automated container storage systems</w:t>
      </w:r>
      <w:r>
        <w:rPr>
          <w:color w:val="7030A0"/>
        </w:rPr>
        <w:t xml:space="preserve">. Physica-Verlag (Springer). https://doi.org/10.1007/978-3-7908-2885-6</w:t>
      </w:r>
    </w:p>
    <w:p>
      <w:pPr>
        <w:pStyle w:val="BodyText"/>
      </w:pPr>
      <w:r>
        <w:rPr>
          <w:color w:val="7030A0"/>
        </w:rPr>
        <w:t xml:space="preserve">Knatz, G., Notteboom, T., &amp; Pallis, A. A. (2022). Container terminal automation: Revealing distinctive terminal characteristics and operating parameters.</w:t>
      </w:r>
      <w:r>
        <w:rPr>
          <w:color w:val="7030A0"/>
        </w:rPr>
        <w:t xml:space="preserve"> </w:t>
      </w:r>
      <w:r>
        <w:rPr>
          <w:iCs/>
          <w:i/>
          <w:color w:val="7030A0"/>
        </w:rPr>
        <w:t xml:space="preserve">Maritime Economics &amp; Logistics, 24</w:t>
      </w:r>
      <w:r>
        <w:rPr>
          <w:color w:val="7030A0"/>
        </w:rPr>
        <w:t xml:space="preserve">(3), 537–565. https://doi.org/10.1057/s41278-022-00240-y (also in file 01)</w:t>
      </w:r>
    </w:p>
    <w:p>
      <w:pPr>
        <w:pStyle w:val="BodyText"/>
      </w:pPr>
      <w:r>
        <w:rPr>
          <w:color w:val="7030A0"/>
        </w:rPr>
        <w:t xml:space="preserve">Kong, L., Ji, M., &amp; Gao, Z. (2021). Joint optimization of container slot planning and truck scheduling for tandem quay cranes.</w:t>
      </w:r>
      <w:r>
        <w:rPr>
          <w:color w:val="7030A0"/>
        </w:rPr>
        <w:t xml:space="preserve"> </w:t>
      </w:r>
      <w:r>
        <w:rPr>
          <w:iCs/>
          <w:i/>
          <w:color w:val="7030A0"/>
        </w:rPr>
        <w:t xml:space="preserve">European Journal of Operational Research, 293</w:t>
      </w:r>
      <w:r>
        <w:rPr>
          <w:color w:val="7030A0"/>
        </w:rPr>
        <w:t xml:space="preserve">(1), 149–166. https://doi.org/10.1016/j.ejor.2020.12.005</w:t>
      </w:r>
    </w:p>
    <w:p>
      <w:pPr>
        <w:pStyle w:val="BodyText"/>
      </w:pPr>
      <w:r>
        <w:rPr>
          <w:color w:val="7030A0"/>
        </w:rPr>
        <w:t xml:space="preserve">Martínez-Moya, J., Vazquez-Paja, B., &amp; Gimenez Maldonado, J. A. (2019). Energy efficiency and CO₂ emissions of port container terminal equipment: Evidence from the Port of Valencia.</w:t>
      </w:r>
      <w:r>
        <w:rPr>
          <w:color w:val="7030A0"/>
        </w:rPr>
        <w:t xml:space="preserve"> </w:t>
      </w:r>
      <w:r>
        <w:rPr>
          <w:iCs/>
          <w:i/>
          <w:color w:val="7030A0"/>
        </w:rPr>
        <w:t xml:space="preserve">Energy Policy, 131</w:t>
      </w:r>
      <w:r>
        <w:rPr>
          <w:color w:val="7030A0"/>
        </w:rPr>
        <w:t xml:space="preserve">, 312–319. https://doi.org/10.1016/j.enpol.2019.04.044 ‡ (authors’ initials)</w:t>
      </w:r>
    </w:p>
    <w:p>
      <w:pPr>
        <w:pStyle w:val="BodyText"/>
      </w:pPr>
      <w:r>
        <w:rPr>
          <w:color w:val="7030A0"/>
        </w:rPr>
        <w:t xml:space="preserve">Steenken, D., Voß, S., &amp; Stahlbock, R. (2004). Container terminal operation and operations research: A classification and literature review.</w:t>
      </w:r>
      <w:r>
        <w:rPr>
          <w:color w:val="7030A0"/>
        </w:rPr>
        <w:t xml:space="preserve"> </w:t>
      </w:r>
      <w:r>
        <w:rPr>
          <w:iCs/>
          <w:i/>
          <w:color w:val="7030A0"/>
        </w:rPr>
        <w:t xml:space="preserve">OR Spectrum, 26</w:t>
      </w:r>
      <w:r>
        <w:rPr>
          <w:color w:val="7030A0"/>
        </w:rPr>
        <w:t xml:space="preserve">(1), 3–49. https://doi.org/10.1007/s00291-003-0157-z</w:t>
      </w:r>
    </w:p>
    <w:p>
      <w:pPr>
        <w:pStyle w:val="BodyText"/>
      </w:pPr>
      <w:r>
        <w:rPr>
          <w:color w:val="7030A0"/>
        </w:rPr>
        <w:t xml:space="preserve">Veenstra, A., Zuidwijk, R., &amp; van Asperen, E. (2012). The extended gate concept for container terminals: Expanding the notion of dry ports.</w:t>
      </w:r>
      <w:r>
        <w:rPr>
          <w:color w:val="7030A0"/>
        </w:rPr>
        <w:t xml:space="preserve"> </w:t>
      </w:r>
      <w:r>
        <w:rPr>
          <w:iCs/>
          <w:i/>
          <w:color w:val="7030A0"/>
        </w:rPr>
        <w:t xml:space="preserve">Maritime Economics &amp; Logistics, 14</w:t>
      </w:r>
      <w:r>
        <w:rPr>
          <w:color w:val="7030A0"/>
        </w:rPr>
        <w:t xml:space="preserve">(1), 14–32. https://doi.org/10.1057/mel.2011.15</w:t>
      </w:r>
    </w:p>
    <w:p>
      <w:pPr>
        <w:pStyle w:val="BodyText"/>
      </w:pPr>
      <w:r>
        <w:rPr>
          <w:color w:val="7030A0"/>
        </w:rPr>
        <w:t xml:space="preserve">Vis, I. F. A., &amp; Harika, I. (2004). Comparison of vehicle types at an automated container terminal.</w:t>
      </w:r>
      <w:r>
        <w:rPr>
          <w:color w:val="7030A0"/>
        </w:rPr>
        <w:t xml:space="preserve"> </w:t>
      </w:r>
      <w:r>
        <w:rPr>
          <w:iCs/>
          <w:i/>
          <w:color w:val="7030A0"/>
        </w:rPr>
        <w:t xml:space="preserve">OR Spectrum, 26</w:t>
      </w:r>
      <w:r>
        <w:rPr>
          <w:color w:val="7030A0"/>
        </w:rPr>
        <w:t xml:space="preserve">(1), 117–143. †</w:t>
      </w:r>
    </w:p>
    <w:p>
      <w:pPr>
        <w:pStyle w:val="BodyText"/>
      </w:pPr>
      <w:r>
        <w:rPr>
          <w:color w:val="7030A0"/>
        </w:rPr>
        <w:t xml:space="preserve">Wang, I. K., Qian, L., &amp; Lehrer, M. (2017). From technology race to technology marathon: A behavioral explanation of technology advancement.</w:t>
      </w:r>
      <w:r>
        <w:rPr>
          <w:color w:val="7030A0"/>
        </w:rPr>
        <w:t xml:space="preserve"> </w:t>
      </w:r>
      <w:r>
        <w:rPr>
          <w:iCs/>
          <w:i/>
          <w:color w:val="7030A0"/>
        </w:rPr>
        <w:t xml:space="preserve">European Management Journal, 35</w:t>
      </w:r>
      <w:r>
        <w:rPr>
          <w:color w:val="7030A0"/>
        </w:rPr>
        <w:t xml:space="preserve">(2), 187–197. https://doi.org/10.1016/j.emj.2017.01.006 †</w:t>
      </w:r>
    </w:p>
    <w:p>
      <w:pPr>
        <w:pStyle w:val="BodyText"/>
      </w:pPr>
      <w:r>
        <w:rPr>
          <w:color w:val="7030A0"/>
        </w:rPr>
        <w:t xml:space="preserve">Yang, Y.-C., &amp; Chang, W.-M. (2013). Impacts of electric rubber-tired gantries on green port performance.</w:t>
      </w:r>
      <w:r>
        <w:rPr>
          <w:color w:val="7030A0"/>
        </w:rPr>
        <w:t xml:space="preserve"> </w:t>
      </w:r>
      <w:r>
        <w:rPr>
          <w:iCs/>
          <w:i/>
          <w:color w:val="7030A0"/>
        </w:rPr>
        <w:t xml:space="preserve">Research in Transportation Business &amp; Management, 8</w:t>
      </w:r>
      <w:r>
        <w:rPr>
          <w:color w:val="7030A0"/>
        </w:rPr>
        <w:t xml:space="preserve">, 67–76. †</w:t>
      </w:r>
    </w:p>
    <w:p>
      <w:pPr>
        <w:pStyle w:val="BodyText"/>
      </w:pPr>
      <w:r>
        <w:rPr>
          <w:color w:val="7030A0"/>
        </w:rPr>
        <w:t xml:space="preserve">Yue, L., Fan, H., &amp; Ma, M. (2021). Optimizing configuration and scheduling of double 40 ft dual-trolley quay cranes and AGVs for improving container terminal services.</w:t>
      </w:r>
      <w:r>
        <w:rPr>
          <w:color w:val="7030A0"/>
        </w:rPr>
        <w:t xml:space="preserve"> </w:t>
      </w:r>
      <w:r>
        <w:rPr>
          <w:iCs/>
          <w:i/>
          <w:color w:val="7030A0"/>
        </w:rPr>
        <w:t xml:space="preserve">Journal of Cleaner Production, 292</w:t>
      </w:r>
      <w:r>
        <w:rPr>
          <w:color w:val="7030A0"/>
        </w:rPr>
        <w:t xml:space="preserve">, 126019. https://doi.org/10.1016/j.jclepro.2021.126019 ‡ (authors’ initials)</w:t>
      </w:r>
    </w:p>
    <w:p>
      <w:pPr>
        <w:pStyle w:val="BodyText"/>
      </w:pPr>
      <w:r>
        <w:rPr>
          <w:color w:val="7030A0"/>
        </w:rPr>
        <w:t xml:space="preserve">Zhang, X., Li, H., &amp; Sheu, J.-B. (2024). Integrated scheduling optimization of AGV and double yard cranes in automated container terminals.</w:t>
      </w:r>
      <w:r>
        <w:rPr>
          <w:color w:val="7030A0"/>
        </w:rPr>
        <w:t xml:space="preserve"> </w:t>
      </w:r>
      <w:r>
        <w:rPr>
          <w:iCs/>
          <w:i/>
          <w:color w:val="7030A0"/>
        </w:rPr>
        <w:t xml:space="preserve">Transportation Research Part B: Methodological, 179</w:t>
      </w:r>
      <w:r>
        <w:rPr>
          <w:color w:val="7030A0"/>
        </w:rPr>
        <w:t xml:space="preserve">, 102871. https://doi.org/10.1016/j.trb.2023.102871</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draft — Examiner 4, Table 3: technological improvements in container terminals</dc:title>
  <dc:creator/>
  <cp:keywords/>
  <dcterms:created xsi:type="dcterms:W3CDTF">2026-10-10T15:58:49Z</dcterms:created>
  <dcterms:modified xsi:type="dcterms:W3CDTF">2026-10-10T15:58:49Z</dcterms:modified>
</cp:coreProperties>
</file>

<file path=docProps/custom.xml><?xml version="1.0" encoding="utf-8"?>
<Properties xmlns="http://schemas.openxmlformats.org/officeDocument/2006/custom-properties" xmlns:vt="http://schemas.openxmlformats.org/officeDocument/2006/docPropsVTypes"/>
</file>