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3E5F74"/>
          <w:sz w:val="52"/>
          <w:szCs w:val="52"/>
        </w:rPr>
        <w:t xml:space="preserve">GRACE MITCHELL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C4477A"/>
          <w:sz w:val="22"/>
          <w:szCs w:val="22"/>
        </w:rPr>
        <w:t xml:space="preserve">SENIOR PRODUCT, PROJECT &amp; GRANT MANAGER</w:t>
      </w:r>
    </w:p>
    <w:p>
      <w:pPr>
        <w:spacing w:after="160" w:before="0"/>
      </w:pPr>
      <w:r>
        <w:rPr>
          <w:rFonts w:ascii="Arial" w:cs="Arial" w:eastAsia="Arial" w:hAnsi="Arial"/>
          <w:color w:val="4A4A46"/>
          <w:sz w:val="18"/>
          <w:szCs w:val="18"/>
        </w:rPr>
        <w:t xml:space="preserve">(512) 698-6506</w:t>
      </w:r>
      <w:r>
        <w:rPr>
          <w:rFonts w:ascii="Arial" w:cs="Arial" w:eastAsia="Arial" w:hAnsi="Arial"/>
          <w:color w:val="888880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4A4A46"/>
          <w:sz w:val="18"/>
          <w:szCs w:val="18"/>
        </w:rPr>
        <w:t xml:space="preserve">gracemitchellwriting@gmail.com</w:t>
      </w:r>
      <w:r>
        <w:rPr>
          <w:rFonts w:ascii="Arial" w:cs="Arial" w:eastAsia="Arial" w:hAnsi="Arial"/>
          <w:color w:val="888880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4A4A46"/>
          <w:sz w:val="18"/>
          <w:szCs w:val="18"/>
        </w:rPr>
        <w:t xml:space="preserve">Newton, MA</w:t>
      </w:r>
      <w:r>
        <w:rPr>
          <w:rFonts w:ascii="Arial" w:cs="Arial" w:eastAsia="Arial" w:hAnsi="Arial"/>
          <w:color w:val="888880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5C7F96"/>
          <w:sz w:val="18"/>
          <w:szCs w:val="18"/>
        </w:rPr>
        <w:t xml:space="preserve">gracemitchellwriting.com</w:t>
      </w:r>
    </w:p>
    <w:p>
      <w:pPr>
        <w:pBdr>
          <w:bottom w:val="single" w:color="C4477A" w:sz="12"/>
        </w:pBdr>
        <w:spacing w:after="200" w:before="0"/>
      </w:pPr>
    </w:p>
    <w:p>
      <w:pPr>
        <w:pBdr>
          <w:bottom w:val="single" w:color="5C7F96" w:sz="6"/>
        </w:pBdr>
        <w:spacing w:after="140" w:before="280"/>
      </w:pPr>
      <w:r>
        <w:rPr>
          <w:rFonts w:ascii="Arial" w:cs="Arial" w:eastAsia="Arial" w:hAnsi="Arial"/>
          <w:b/>
          <w:bCs/>
          <w:color w:val="3E5F74"/>
          <w:sz w:val="20"/>
          <w:szCs w:val="20"/>
        </w:rPr>
        <w:t xml:space="preserve">PROFILE</w:t>
      </w:r>
    </w:p>
    <w:p>
      <w:pPr>
        <w:spacing w:after="0" w:before="0"/>
      </w:pPr>
      <w:r>
        <w:rPr>
          <w:rFonts w:ascii="Arial" w:cs="Arial" w:eastAsia="Arial" w:hAnsi="Arial"/>
          <w:color w:val="4A4A46"/>
          <w:sz w:val="19"/>
          <w:szCs w:val="19"/>
        </w:rPr>
        <w:t xml:space="preserve">Strategic product and program leader with 20+ years of experience translating complex policy and organizational goals into human-centered digital services. Deep experience navigating large, multi-stakeholder government ecosystems — building alignment across agencies, vendors, advocates, and communities without direct authority over any of them. Track record of driving systems-level change in Massachusetts housing and civic technology programs. PMP-certified, CNP-credentialed, with a Master’s in Public Affairs.</w:t>
      </w:r>
    </w:p>
    <w:p>
      <w:pPr>
        <w:pBdr>
          <w:bottom w:val="single" w:color="5C7F96" w:sz="6"/>
        </w:pBdr>
        <w:spacing w:after="140" w:before="280"/>
      </w:pPr>
      <w:r>
        <w:rPr>
          <w:rFonts w:ascii="Arial" w:cs="Arial" w:eastAsia="Arial" w:hAnsi="Arial"/>
          <w:b/>
          <w:bCs/>
          <w:color w:val="3E5F74"/>
          <w:sz w:val="20"/>
          <w:szCs w:val="20"/>
        </w:rPr>
        <w:t xml:space="preserve">EXPERIENCE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E5F74"/>
                <w:sz w:val="20"/>
                <w:szCs w:val="20"/>
              </w:rPr>
              <w:t xml:space="preserve">Housing Navigator Massachusetts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88880"/>
                <w:sz w:val="18"/>
                <w:szCs w:val="18"/>
              </w:rPr>
              <w:t xml:space="preserve">2023–2025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4A46"/>
                <w:sz w:val="19"/>
                <w:szCs w:val="19"/>
              </w:rPr>
              <w:t xml:space="preserve">Product Manager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6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88880"/>
                <w:sz w:val="17"/>
                <w:szCs w:val="17"/>
              </w:rPr>
              <w:t xml:space="preserve">Cambridge, MA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6"/>
          <w:sz w:val="18"/>
          <w:szCs w:val="18"/>
        </w:rPr>
        <w:t xml:space="preserve">Led strategy and stakeholder alignment for a statewide housing platform serving approximately 450,000 annual users, coordinating across EOHLC, regional housing authorities, property managers, and advocacy organizations.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6"/>
          <w:sz w:val="18"/>
          <w:szCs w:val="18"/>
        </w:rPr>
        <w:t xml:space="preserve">Contributed to discovery work for a cross-system data integration initiative, facilitating stakeholder interviews, mapping ecosystem relationships, and surfacing key integration challenges.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6"/>
          <w:sz w:val="18"/>
          <w:szCs w:val="18"/>
        </w:rPr>
        <w:t xml:space="preserve">Led human-centered redesign of the core user experience, overseeing user research with underserved populations and translating findings into product decisions across a cross-functional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6"/>
          <w:sz w:val="18"/>
          <w:szCs w:val="18"/>
        </w:rPr>
        <w:t xml:space="preserve">Managed a direct report and vendor relationships while coordinating implementation across multiple external partners with no direct organizational authority.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6"/>
          <w:sz w:val="18"/>
          <w:szCs w:val="18"/>
        </w:rPr>
        <w:t xml:space="preserve">Translated organizational mission and state policy objectives into an iterative product roadmap, balancing stakeholder priorities, technical constraints, and resource limitations.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E5F74"/>
                <w:sz w:val="20"/>
                <w:szCs w:val="20"/>
              </w:rPr>
              <w:t xml:space="preserve">City of Boston Mayor's Office of Housing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88880"/>
                <w:sz w:val="18"/>
                <w:szCs w:val="18"/>
              </w:rPr>
              <w:t xml:space="preserve">2021–2023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4A46"/>
                <w:sz w:val="19"/>
                <w:szCs w:val="19"/>
              </w:rPr>
              <w:t xml:space="preserve">IT Project Manager (Consultant)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6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88880"/>
                <w:sz w:val="17"/>
                <w:szCs w:val="17"/>
              </w:rPr>
              <w:t xml:space="preserve">Boston, MA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6"/>
          <w:sz w:val="18"/>
          <w:szCs w:val="18"/>
        </w:rPr>
        <w:t xml:space="preserve">Served as primary technical bridge across city departments, state agencies, federal oversight bodies, and community organizations for a $38M+ Emergency Rental Assistance program.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6"/>
          <w:sz w:val="18"/>
          <w:szCs w:val="18"/>
        </w:rPr>
        <w:t xml:space="preserve">Managed development and operations of Salesforce-based platforms supporting case management and payment disbursement, navigating shifting federal requirements while maintaining service continuity.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6"/>
          <w:sz w:val="18"/>
          <w:szCs w:val="18"/>
        </w:rPr>
        <w:t xml:space="preserve">Identified operational and policy gaps, facilitated cross-functional working sessions to resolve them, and implemented improvements that accelerated disbursement timelines and improved equity of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6"/>
          <w:sz w:val="18"/>
          <w:szCs w:val="18"/>
        </w:rPr>
        <w:t xml:space="preserve">Maintained trusted relationships with technical vendors, program administrators, and community-facing partners through transparent communication and consistent follow-through.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E5F74"/>
                <w:sz w:val="20"/>
                <w:szCs w:val="20"/>
              </w:rPr>
              <w:t xml:space="preserve">Meridian Knowledge Solutions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88880"/>
                <w:sz w:val="18"/>
                <w:szCs w:val="18"/>
              </w:rPr>
              <w:t xml:space="preserve">2012–2020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4A46"/>
                <w:sz w:val="19"/>
                <w:szCs w:val="19"/>
              </w:rPr>
              <w:t xml:space="preserve">Senior Proposal Manager / Project Manager / Documentation Team Lead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6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88880"/>
                <w:sz w:val="17"/>
                <w:szCs w:val="17"/>
              </w:rPr>
              <w:t xml:space="preserve">Reston, VA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6"/>
          <w:sz w:val="18"/>
          <w:szCs w:val="18"/>
        </w:rPr>
        <w:t xml:space="preserve">As Senior Proposal Manager: directed federal and state proposal development (~40/year; up to $139M per bid), coordinating cross-functional teams across strategy, compliance, technical writing, and subject matter expertise.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6"/>
          <w:sz w:val="18"/>
          <w:szCs w:val="18"/>
        </w:rPr>
        <w:t xml:space="preserve">As Documentation Team Lead: managed two direct reports and led accessibility initiatives, ensuring WCAG 2.0 AA compliance across software products.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6"/>
          <w:sz w:val="18"/>
          <w:szCs w:val="18"/>
        </w:rPr>
        <w:t xml:space="preserve">As Project Manager: managed software release cycles and cross-departmental collaboration to streamline delivery and improve user satisfaction.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E5F74"/>
                <w:sz w:val="20"/>
                <w:szCs w:val="20"/>
              </w:rPr>
              <w:t xml:space="preserve">Northwest Alliance Group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88880"/>
                <w:sz w:val="18"/>
                <w:szCs w:val="18"/>
              </w:rPr>
              <w:t xml:space="preserve">2007–2012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4A46"/>
                <w:sz w:val="19"/>
                <w:szCs w:val="19"/>
              </w:rPr>
              <w:t xml:space="preserve">Director of Grant Funding (Contract)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6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88880"/>
                <w:sz w:val="17"/>
                <w:szCs w:val="17"/>
              </w:rPr>
              <w:t xml:space="preserve">Remote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6"/>
          <w:sz w:val="18"/>
          <w:szCs w:val="18"/>
        </w:rPr>
        <w:t xml:space="preserve">Managed full grant lifecycle for business and nonprofit clients — from RFP analysis, go/no-go recommendations, and application development through budget preparation, award negotiation, and post-award compliance reporting.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6"/>
          <w:sz w:val="18"/>
          <w:szCs w:val="18"/>
        </w:rPr>
        <w:t xml:space="preserve">Evaluated funding opportunities across federal, state, and foundation sources, developing competitive proposals across economic development, workforce, and small business sectors.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6"/>
          <w:sz w:val="18"/>
          <w:szCs w:val="18"/>
        </w:rPr>
        <w:t xml:space="preserve">Trained clients on federal grant processes, compliance requirements, and reporting obligations, building internal capacity for sustained funding success.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E5F74"/>
                <w:sz w:val="20"/>
                <w:szCs w:val="20"/>
              </w:rPr>
              <w:t xml:space="preserve">Texas Commission on Environmental Quality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88880"/>
                <w:sz w:val="18"/>
                <w:szCs w:val="18"/>
              </w:rPr>
              <w:t xml:space="preserve">2009–2011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4A46"/>
                <w:sz w:val="19"/>
                <w:szCs w:val="19"/>
              </w:rPr>
              <w:t xml:space="preserve">Technical Writer / Documentation Specialist (Consultant)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6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88880"/>
                <w:sz w:val="17"/>
                <w:szCs w:val="17"/>
              </w:rPr>
              <w:t xml:space="preserve">Austin, TX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6"/>
          <w:sz w:val="18"/>
          <w:szCs w:val="18"/>
        </w:rPr>
        <w:t xml:space="preserve">Participated in and scribed Joint Application Development (JAD) sessions, facilitating requirements alignment for new environmental monitoring software.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6"/>
          <w:sz w:val="18"/>
          <w:szCs w:val="18"/>
        </w:rPr>
        <w:t xml:space="preserve">Oversaw accessibility-compliant transition of all user and technical documentation for state environmental quality software systems.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E5F74"/>
                <w:sz w:val="20"/>
                <w:szCs w:val="20"/>
              </w:rPr>
              <w:t xml:space="preserve">University of Texas at Austin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88880"/>
                <w:sz w:val="18"/>
                <w:szCs w:val="18"/>
              </w:rPr>
              <w:t xml:space="preserve">2006–2009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4A46"/>
                <w:sz w:val="19"/>
                <w:szCs w:val="19"/>
              </w:rPr>
              <w:t xml:space="preserve">Senior Grants &amp; Contracts Specialist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6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88880"/>
                <w:sz w:val="17"/>
                <w:szCs w:val="17"/>
              </w:rPr>
              <w:t xml:space="preserve">Austin, TX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6"/>
          <w:sz w:val="18"/>
          <w:szCs w:val="18"/>
        </w:rPr>
        <w:t xml:space="preserve">Oversaw $15M in research and operating budgets; coordinated cross-departmental NIH and private grant applications across neuroscience labs, managing complex compliance and financial reporting requirements.</w:t>
      </w:r>
    </w:p>
    <w:p>
      <w:pPr>
        <w:pBdr>
          <w:bottom w:val="single" w:color="5C7F96" w:sz="6"/>
        </w:pBdr>
        <w:spacing w:after="140" w:before="280"/>
      </w:pPr>
      <w:r>
        <w:rPr>
          <w:rFonts w:ascii="Arial" w:cs="Arial" w:eastAsia="Arial" w:hAnsi="Arial"/>
          <w:b/>
          <w:bCs/>
          <w:color w:val="3E5F74"/>
          <w:sz w:val="20"/>
          <w:szCs w:val="20"/>
        </w:rPr>
        <w:t xml:space="preserve">ADVISORY &amp; CIVIC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E5F74"/>
                <w:sz w:val="20"/>
                <w:szCs w:val="20"/>
              </w:rPr>
              <w:t xml:space="preserve">Newton Fair and Affordable Housing Partnership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88880"/>
                <w:sz w:val="18"/>
                <w:szCs w:val="18"/>
              </w:rPr>
              <w:t xml:space="preserve">2025–Present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4A4A46"/>
          <w:sz w:val="19"/>
          <w:szCs w:val="19"/>
        </w:rPr>
        <w:t xml:space="preserve">Board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6"/>
          <w:sz w:val="18"/>
          <w:szCs w:val="18"/>
        </w:rPr>
        <w:t xml:space="preserve">Contribute to policy analysis and community engagement efforts supporting fair and affordable housing goals across Newton, connecting local initiatives to state and regional housing policy.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6"/>
          <w:sz w:val="18"/>
          <w:szCs w:val="18"/>
        </w:rPr>
        <w:t xml:space="preserve">Advise on housing equity strategies, evaluate proposed developments and policies, and participate in board governance.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E5F74"/>
                <w:sz w:val="20"/>
                <w:szCs w:val="20"/>
              </w:rPr>
              <w:t xml:space="preserve">Elkton Community Education Center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88880"/>
                <w:sz w:val="18"/>
                <w:szCs w:val="18"/>
              </w:rPr>
              <w:t xml:space="preserve">Ongoing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4A4A46"/>
          <w:sz w:val="19"/>
          <w:szCs w:val="19"/>
        </w:rPr>
        <w:t xml:space="preserve">Strategic Advisor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6"/>
          <w:sz w:val="18"/>
          <w:szCs w:val="18"/>
        </w:rPr>
        <w:t xml:space="preserve">Provide grant strategy guidance including funding source identification, opportunity evaluation, and go/no-go recommendations for a rural community education nonprofit in Oregon.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6"/>
          <w:sz w:val="18"/>
          <w:szCs w:val="18"/>
        </w:rPr>
        <w:t xml:space="preserve">Support organizational positioning and capacity building to strengthen the center’s long-term funding sustainability and community impact.</w:t>
      </w:r>
    </w:p>
    <w:p>
      <w:pPr>
        <w:pBdr>
          <w:bottom w:val="single" w:color="5C7F96" w:sz="6"/>
        </w:pBdr>
        <w:spacing w:after="140" w:before="280"/>
      </w:pPr>
      <w:r>
        <w:rPr>
          <w:rFonts w:ascii="Arial" w:cs="Arial" w:eastAsia="Arial" w:hAnsi="Arial"/>
          <w:b/>
          <w:bCs/>
          <w:color w:val="3E5F74"/>
          <w:sz w:val="20"/>
          <w:szCs w:val="20"/>
        </w:rPr>
        <w:t xml:space="preserve">EDUCATION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E5F74"/>
                <w:sz w:val="19"/>
                <w:szCs w:val="19"/>
              </w:rPr>
              <w:t xml:space="preserve">Master of Public Affairs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6"/>
                <w:sz w:val="18"/>
                <w:szCs w:val="18"/>
              </w:rPr>
              <w:t xml:space="preserve">University of Texas at Austin · LBJ School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E5F74"/>
                <w:sz w:val="19"/>
                <w:szCs w:val="19"/>
              </w:rPr>
              <w:t xml:space="preserve">Bachelor of Arts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6"/>
                <w:sz w:val="18"/>
                <w:szCs w:val="18"/>
              </w:rPr>
              <w:t xml:space="preserve">Reed College</w:t>
            </w:r>
          </w:p>
        </w:tc>
      </w:tr>
    </w:tbl>
    <w:p>
      <w:pPr>
        <w:pBdr>
          <w:bottom w:val="single" w:color="5C7F96" w:sz="6"/>
        </w:pBdr>
        <w:spacing w:after="140" w:before="280"/>
      </w:pPr>
      <w:r>
        <w:rPr>
          <w:rFonts w:ascii="Arial" w:cs="Arial" w:eastAsia="Arial" w:hAnsi="Arial"/>
          <w:b/>
          <w:bCs/>
          <w:color w:val="3E5F74"/>
          <w:sz w:val="20"/>
          <w:szCs w:val="20"/>
        </w:rPr>
        <w:t xml:space="preserve">CREDENTIALS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E5F74"/>
                <w:sz w:val="22"/>
                <w:szCs w:val="22"/>
              </w:rPr>
              <w:t xml:space="preserve">PMP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0"/>
                <w:sz w:val="16"/>
                <w:szCs w:val="16"/>
              </w:rPr>
              <w:t xml:space="preserve">Project Management Professional</w:t>
            </w:r>
          </w:p>
        </w:tc>
        <w:tc>
          <w:tcPr>
            <w:tcW w:type="dxa" w:w="2520"/>
            <w:tcBorders>
              <w:top w:val="none" w:color="FFFFFF" w:sz="0"/>
              <w:left w:val="single" w:color="CCCCCC" w:sz="4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E5F74"/>
                <w:sz w:val="22"/>
                <w:szCs w:val="22"/>
              </w:rPr>
              <w:t xml:space="preserve">CNP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0"/>
                <w:sz w:val="16"/>
                <w:szCs w:val="16"/>
              </w:rPr>
              <w:t xml:space="preserve">Certified Nonprofit Professional</w:t>
            </w:r>
          </w:p>
        </w:tc>
        <w:tc>
          <w:tcPr>
            <w:tcW w:type="dxa" w:w="2520"/>
            <w:tcBorders>
              <w:top w:val="none" w:color="FFFFFF" w:sz="0"/>
              <w:left w:val="single" w:color="CCCCCC" w:sz="4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E5F74"/>
                <w:sz w:val="22"/>
                <w:szCs w:val="22"/>
              </w:rPr>
              <w:t xml:space="preserve">Google 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0"/>
                <w:sz w:val="16"/>
                <w:szCs w:val="16"/>
              </w:rPr>
              <w:t xml:space="preserve">Professional Certificate</w:t>
            </w:r>
          </w:p>
        </w:tc>
        <w:tc>
          <w:tcPr>
            <w:tcW w:type="dxa" w:w="2520"/>
            <w:tcBorders>
              <w:top w:val="none" w:color="FFFFFF" w:sz="0"/>
              <w:left w:val="single" w:color="CCCCCC" w:sz="4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E5F74"/>
                <w:sz w:val="22"/>
                <w:szCs w:val="22"/>
              </w:rPr>
              <w:t xml:space="preserve">Anthropic 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0"/>
                <w:sz w:val="16"/>
                <w:szCs w:val="16"/>
              </w:rPr>
              <w:t xml:space="preserve">AI for Nonprofits Certificate</w:t>
            </w:r>
          </w:p>
        </w:tc>
      </w:tr>
    </w:tbl>
    <w:p>
      <w:pPr>
        <w:pBdr>
          <w:bottom w:val="single" w:color="5C7F96" w:sz="6"/>
        </w:pBdr>
        <w:spacing w:after="140" w:before="280"/>
      </w:pPr>
      <w:r>
        <w:rPr>
          <w:rFonts w:ascii="Arial" w:cs="Arial" w:eastAsia="Arial" w:hAnsi="Arial"/>
          <w:b/>
          <w:bCs/>
          <w:color w:val="3E5F74"/>
          <w:sz w:val="20"/>
          <w:szCs w:val="20"/>
        </w:rPr>
        <w:t xml:space="preserve">EXPERTISE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6"/>
                <w:sz w:val="17"/>
                <w:szCs w:val="17"/>
              </w:rPr>
              <w:t xml:space="preserve">Product strategy &amp; roadmap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6"/>
                <w:sz w:val="17"/>
                <w:szCs w:val="17"/>
              </w:rPr>
              <w:t xml:space="preserve">User research &amp; human-centered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6"/>
                <w:sz w:val="17"/>
                <w:szCs w:val="17"/>
              </w:rPr>
              <w:t xml:space="preserve">Agile &amp; iterative delivery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6"/>
                <w:sz w:val="17"/>
                <w:szCs w:val="17"/>
              </w:rPr>
              <w:t xml:space="preserve">Cross-functional team leadership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6"/>
                <w:sz w:val="17"/>
                <w:szCs w:val="17"/>
              </w:rPr>
              <w:t xml:space="preserve">Stakeholder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6"/>
                <w:sz w:val="17"/>
                <w:szCs w:val="17"/>
              </w:rPr>
              <w:t xml:space="preserve">Data-informed decision-making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6"/>
                <w:sz w:val="17"/>
                <w:szCs w:val="17"/>
              </w:rPr>
              <w:t xml:space="preserve">Digital accessibility (WCAG, 508)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6"/>
                <w:sz w:val="17"/>
                <w:szCs w:val="17"/>
              </w:rPr>
              <w:t xml:space="preserve">Platform &amp; vendor management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6"/>
                <w:sz w:val="17"/>
                <w:szCs w:val="17"/>
              </w:rPr>
              <w:t xml:space="preserve">Requirements &amp; functional specs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6"/>
                <w:sz w:val="17"/>
                <w:szCs w:val="17"/>
              </w:rPr>
              <w:t xml:space="preserve">Grant lifecycle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6"/>
                <w:sz w:val="17"/>
                <w:szCs w:val="17"/>
              </w:rPr>
              <w:t xml:space="preserve">Proposal development &amp; writing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6"/>
                <w:sz w:val="17"/>
                <w:szCs w:val="17"/>
              </w:rPr>
              <w:t xml:space="preserve">Mission-driven nonprofit experience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2026-04-01T18:24:12.805Z</dcterms:created>
  <dcterms:modified xsi:type="dcterms:W3CDTF">2026-04-01T18:24:12.807Z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