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economy_offline_a6a67fe37918f5ba. Protocol student-high-economy-revision-v3. Status: complete. Reason: Finished requested stage. Conservative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Small feasibility test and spending limits</w:t>
      </w:r>
    </w:p>
    <w:p>
      <w:r>
        <w:t>The first four development states form a quick computation check across all roles. Failed completion/headroom or computation-separation checks stop before further purchases. The entire fresh calibration has a $0.18 cap. Only passing both full eight-case splits permits games. The live pilot cap is $2.20; with the earlier $0.7198179 Mini calibration this attempt stays below $2.92. Synthetic positive, negative and null controls verify the analysis code, not the model persona.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median_initial_tokens</w:t>
            </w:r>
          </w:p>
        </w:tc>
        <w:tc>
          <w:tcPr>
            <w:tcW w:type="dxa" w:w="1234"/>
          </w:tcPr>
          <w:p>
            <w:r>
              <w:t>median_combined_tokens</w:t>
            </w:r>
          </w:p>
        </w:tc>
        <w:tc>
          <w:tcPr>
            <w:tcW w:type="dxa" w:w="1234"/>
          </w:tcPr>
          <w:p>
            <w:r>
              <w:t>initial_to_combined_ratio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First four development cases only; not independent validation or a hypothesis test.</w:t>
            </w:r>
          </w:p>
        </w:tc>
      </w:tr>
    </w:tbl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Conservative Flex estimate: all uncached input charged at cache-write rate .0625 per million; ordinary input rate is .05. Output .25; cached reads .005. Unknown or non-Flex outcomes reserve/charge standard rates; no automatic standard fallback.</w:t>
      </w:r>
    </w:p>
    <w:p>
      <w:r>
        <w:t>Official API ID gpt-6-luna; no dated snapshot is published. Requested and returned IDs must match; long-term alias drift remains a reproducibility limitation.</w:t>
      </w:r>
    </w:p>
    <w:p>
      <w:r>
        <w:t>This v3 run fixes GPT-6 Luna and high effort across conditions. The model change was chosen for price before v3 outcomes; Mini calibration and game evidence are not pooled with it.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 redesign work together is capped at $2.95;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pricing](https://developers.openai.com/api/docs/models/gpt-6-luna),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