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Beer-Game Results: Your Latest Offline Run</w:t>
      </w:r>
    </w:p>
    <w:p>
      <w:pPr>
        <w:pStyle w:val="Heading1"/>
      </w:pPr>
      <w:r>
        <w:t>1. Conclusions</w:t>
      </w:r>
    </w:p>
    <w:p>
      <w:pPr>
        <w:keepNext/>
        <w:keepLines/>
        <w:spacing w:after="140"/>
        <w:shd w:fill="EDF4F8"/>
      </w:pPr>
      <w:r>
        <w:rPr>
          <w:b/>
          <w:color w:val="183B56"/>
        </w:rPr>
        <w:t xml:space="preserve">1. The simulation passed its checks. </w:t>
      </w:r>
      <w:r>
        <w:t>All 2,304 decisions and inventory flows were verified.</w:t>
      </w:r>
    </w:p>
    <w:p>
      <w:pPr>
        <w:keepNext/>
        <w:keepLines/>
        <w:spacing w:after="140"/>
        <w:shd w:fill="EDF4F8"/>
      </w:pPr>
      <w:r>
        <w:rPr>
          <w:b/>
          <w:color w:val="183B56"/>
        </w:rPr>
        <w:t xml:space="preserve">2. β estimates are imperfect. </w:t>
      </w:r>
      <w:r>
        <w:t>Mean β was 0.696 versus the true 0.650; individual estimates ranged from 0.403 to 0.988.</w:t>
      </w:r>
    </w:p>
    <w:p>
      <w:pPr>
        <w:keepNext/>
        <w:keepLines/>
        <w:spacing w:after="140"/>
        <w:shd w:fill="EDF4F8"/>
      </w:pPr>
      <w:r>
        <w:rPr>
          <w:b/>
          <w:color w:val="183B56"/>
        </w:rPr>
        <w:t xml:space="preserve">3. H1: no conclusion about training. </w:t>
      </w:r>
      <w:r>
        <w:t>Training has no effect in the offline policy, so this run cannot support or reject H1.</w:t>
      </w:r>
    </w:p>
    <w:p>
      <w:pPr>
        <w:keepNext/>
        <w:keepLines/>
        <w:spacing w:after="140"/>
        <w:shd w:fill="EDF4F8"/>
      </w:pPr>
      <w:r>
        <w:rPr>
          <w:b/>
          <w:color w:val="183B56"/>
        </w:rPr>
        <w:t xml:space="preserve">4. H2: no conclusion about decision time. </w:t>
      </w:r>
      <w:r>
        <w:t>Offline roles face no actual time pressure, so this run cannot support or reject H2.</w:t>
      </w:r>
    </w:p>
    <w:p>
      <w:pPr>
        <w:keepNext/>
        <w:keepLines/>
        <w:spacing w:after="140"/>
        <w:shd w:fill="EDF4F8"/>
      </w:pPr>
      <w:r>
        <w:rPr>
          <w:b/>
          <w:color w:val="183B56"/>
        </w:rPr>
        <w:t xml:space="preserve">5. Next step: a small GPT API pilot. </w:t>
      </w:r>
      <w:r>
        <w:t>The software is ready for a pilot; this offline run provides no evidence about GPT or human behavior.</w:t>
      </w:r>
    </w:p>
    <w:p>
      <w:r>
        <w:t>Run: offline_8edb990c49951ceb  |  4 groups per condition  |  36 weeks</w:t>
      </w:r>
    </w:p>
    <w:p>
      <w:pPr>
        <w:pStyle w:val="Heading1"/>
      </w:pPr>
      <w:r>
        <w:t>2. What you ran</w:t>
      </w:r>
    </w:p>
    <w:tbl>
      <w:tblPr>
        <w:tblStyle w:val="LightShading-Accent1"/>
        <w:tblW w:type="auto" w:w="0"/>
        <w:tblLook w:firstColumn="1" w:firstRow="1" w:lastColumn="0" w:lastRow="0" w:noHBand="0" w:noVBand="1" w:val="04A0"/>
      </w:tblPr>
      <w:tblGrid>
        <w:gridCol w:w="5184"/>
        <w:gridCol w:w="5184"/>
      </w:tblGrid>
      <w:tr>
        <w:trPr>
          <w:tblHeader/>
          <w:cantSplit/>
        </w:trPr>
        <w:tc>
          <w:tcPr>
            <w:tcW w:type="dxa" w:w="5184"/>
          </w:tcPr>
          <w:p>
            <w:pPr>
              <w:spacing w:after="60"/>
            </w:pPr>
            <w:r>
              <w:rPr>
                <w:sz w:val="18"/>
              </w:rPr>
              <w:t>Item</w:t>
            </w:r>
          </w:p>
        </w:tc>
        <w:tc>
          <w:tcPr>
            <w:tcW w:type="dxa" w:w="5184"/>
          </w:tcPr>
          <w:p>
            <w:pPr>
              <w:spacing w:after="60"/>
            </w:pPr>
            <w:r>
              <w:rPr>
                <w:sz w:val="18"/>
              </w:rPr>
              <w:t>Latest run</w:t>
            </w:r>
          </w:p>
        </w:tc>
      </w:tr>
      <w:tr>
        <w:trPr>
          <w:cantSplit/>
        </w:trPr>
        <w:tc>
          <w:tcPr>
            <w:tcW w:type="dxa" w:w="5184"/>
          </w:tcPr>
          <w:p>
            <w:pPr>
              <w:spacing w:after="60"/>
            </w:pPr>
            <w:r>
              <w:rPr>
                <w:sz w:val="18"/>
              </w:rPr>
              <w:t>Experimental conditions</w:t>
            </w:r>
          </w:p>
        </w:tc>
        <w:tc>
          <w:tcPr>
            <w:tcW w:type="dxa" w:w="5184"/>
          </w:tcPr>
          <w:p>
            <w:pPr>
              <w:spacing w:after="60"/>
            </w:pPr>
            <w:r>
              <w:rPr>
                <w:sz w:val="18"/>
              </w:rPr>
              <w:t>Standard / trained × 60 / 120 seconds</w:t>
            </w:r>
          </w:p>
        </w:tc>
      </w:tr>
      <w:tr>
        <w:trPr>
          <w:cantSplit/>
        </w:trPr>
        <w:tc>
          <w:tcPr>
            <w:tcW w:type="dxa" w:w="5184"/>
          </w:tcPr>
          <w:p>
            <w:pPr>
              <w:spacing w:after="60"/>
            </w:pPr>
            <w:r>
              <w:rPr>
                <w:sz w:val="18"/>
              </w:rPr>
              <w:t>Groups per condition</w:t>
            </w:r>
          </w:p>
        </w:tc>
        <w:tc>
          <w:tcPr>
            <w:tcW w:type="dxa" w:w="5184"/>
          </w:tcPr>
          <w:p>
            <w:pPr>
              <w:spacing w:after="60"/>
            </w:pPr>
            <w:r>
              <w:rPr>
                <w:sz w:val="18"/>
              </w:rPr>
              <w:t>4</w:t>
            </w:r>
          </w:p>
        </w:tc>
      </w:tr>
      <w:tr>
        <w:trPr>
          <w:cantSplit/>
        </w:trPr>
        <w:tc>
          <w:tcPr>
            <w:tcW w:type="dxa" w:w="5184"/>
          </w:tcPr>
          <w:p>
            <w:pPr>
              <w:spacing w:after="60"/>
            </w:pPr>
            <w:r>
              <w:rPr>
                <w:sz w:val="18"/>
              </w:rPr>
              <w:t>Roles per group</w:t>
            </w:r>
          </w:p>
        </w:tc>
        <w:tc>
          <w:tcPr>
            <w:tcW w:type="dxa" w:w="5184"/>
          </w:tcPr>
          <w:p>
            <w:pPr>
              <w:spacing w:after="60"/>
            </w:pPr>
            <w:r>
              <w:rPr>
                <w:sz w:val="18"/>
              </w:rPr>
              <w:t>4: retailer, wholesaler, distributor, factory</w:t>
            </w:r>
          </w:p>
        </w:tc>
      </w:tr>
      <w:tr>
        <w:trPr>
          <w:cantSplit/>
        </w:trPr>
        <w:tc>
          <w:tcPr>
            <w:tcW w:type="dxa" w:w="5184"/>
          </w:tcPr>
          <w:p>
            <w:pPr>
              <w:spacing w:after="60"/>
            </w:pPr>
            <w:r>
              <w:rPr>
                <w:sz w:val="18"/>
              </w:rPr>
              <w:t>Total sample</w:t>
            </w:r>
          </w:p>
        </w:tc>
        <w:tc>
          <w:tcPr>
            <w:tcW w:type="dxa" w:w="5184"/>
          </w:tcPr>
          <w:p>
            <w:pPr>
              <w:spacing w:after="60"/>
            </w:pPr>
            <w:r>
              <w:rPr>
                <w:sz w:val="18"/>
              </w:rPr>
              <w:t>16 groups × 4 roles = 64 simulated decision-makers</w:t>
            </w:r>
          </w:p>
        </w:tc>
      </w:tr>
      <w:tr>
        <w:trPr>
          <w:cantSplit/>
        </w:trPr>
        <w:tc>
          <w:tcPr>
            <w:tcW w:type="dxa" w:w="5184"/>
          </w:tcPr>
          <w:p>
            <w:pPr>
              <w:spacing w:after="60"/>
            </w:pPr>
            <w:r>
              <w:rPr>
                <w:sz w:val="18"/>
              </w:rPr>
              <w:t>Duration and decisions</w:t>
            </w:r>
          </w:p>
        </w:tc>
        <w:tc>
          <w:tcPr>
            <w:tcW w:type="dxa" w:w="5184"/>
          </w:tcPr>
          <w:p>
            <w:pPr>
              <w:spacing w:after="60"/>
            </w:pPr>
            <w:r>
              <w:rPr>
                <w:sz w:val="18"/>
              </w:rPr>
              <w:t>36 weeks; 576 decisions per condition; 2,304 total</w:t>
            </w:r>
          </w:p>
        </w:tc>
      </w:tr>
      <w:tr>
        <w:trPr>
          <w:cantSplit/>
        </w:trPr>
        <w:tc>
          <w:tcPr>
            <w:tcW w:type="dxa" w:w="5184"/>
          </w:tcPr>
          <w:p>
            <w:pPr>
              <w:spacing w:after="60"/>
            </w:pPr>
            <w:r>
              <w:rPr>
                <w:sz w:val="18"/>
              </w:rPr>
              <w:t>Replication unit</w:t>
            </w:r>
          </w:p>
        </w:tc>
        <w:tc>
          <w:tcPr>
            <w:tcW w:type="dxa" w:w="5184"/>
          </w:tcPr>
          <w:p>
            <w:pPr>
              <w:spacing w:after="60"/>
            </w:pPr>
            <w:r>
              <w:rPr>
                <w:sz w:val="18"/>
              </w:rPr>
              <w:t>The four-role group; 4 groups per condition</w:t>
            </w:r>
          </w:p>
        </w:tc>
      </w:tr>
      <w:tr>
        <w:trPr>
          <w:cantSplit/>
        </w:trPr>
        <w:tc>
          <w:tcPr>
            <w:tcW w:type="dxa" w:w="5184"/>
          </w:tcPr>
          <w:p>
            <w:pPr>
              <w:spacing w:after="60"/>
            </w:pPr>
            <w:r>
              <w:rPr>
                <w:sz w:val="18"/>
              </w:rPr>
              <w:t>Actual data source</w:t>
            </w:r>
          </w:p>
        </w:tc>
        <w:tc>
          <w:tcPr>
            <w:tcW w:type="dxa" w:w="5184"/>
          </w:tcPr>
          <w:p>
            <w:pPr>
              <w:spacing w:after="60"/>
            </w:pPr>
            <w:r>
              <w:rPr>
                <w:sz w:val="18"/>
              </w:rPr>
              <w:t>Mathematical ordering policy; no people or GPT responses</w:t>
            </w:r>
          </w:p>
        </w:tc>
      </w:tr>
      <w:tr>
        <w:trPr>
          <w:cantSplit/>
        </w:trPr>
        <w:tc>
          <w:tcPr>
            <w:tcW w:type="dxa" w:w="5184"/>
          </w:tcPr>
          <w:p>
            <w:pPr>
              <w:spacing w:after="60"/>
            </w:pPr>
            <w:r>
              <w:rPr>
                <w:sz w:val="18"/>
              </w:rPr>
              <w:t>Earlier report replaced</w:t>
            </w:r>
          </w:p>
        </w:tc>
        <w:tc>
          <w:tcPr>
            <w:tcW w:type="dxa" w:w="5184"/>
          </w:tcPr>
          <w:p>
            <w:pPr>
              <w:spacing w:after="60"/>
            </w:pPr>
            <w:r>
              <w:rPr>
                <w:sz w:val="18"/>
              </w:rPr>
              <w:t>Earlier run: 4 groups total, 16 roles, 24 weeks, 384 decisions</w:t>
            </w:r>
          </w:p>
        </w:tc>
      </w:tr>
    </w:tbl>
    <w:p>
      <w:pPr>
        <w:pStyle w:val="Heading1"/>
      </w:pPr>
      <w:r>
        <w:t>3. Beer-game and offline settings</w:t>
      </w:r>
    </w:p>
    <w:p>
      <w:pPr>
        <w:pStyle w:val="ListBullet"/>
      </w:pPr>
      <w:r>
        <w:rPr>
          <w:b w:val="0"/>
        </w:rPr>
        <w:t>Start: 12 inventory units at each stage; initial demand/flow 4. End-customer demand rises from 4 to 8 in week 5 and stays at 8.</w:t>
      </w:r>
    </w:p>
    <w:p>
      <w:pPr>
        <w:pStyle w:val="ListBullet"/>
      </w:pPr>
      <w:r>
        <w:rPr>
          <w:b w:val="0"/>
        </w:rPr>
        <w:t>Delays: orders move upstream in 1 week; dispatched shipments arrive in 2 weeks; factory production takes 3 weeks. Unfilled demand is backlogged. No order cancellation or production capacity limit.</w:t>
      </w:r>
    </w:p>
    <w:p>
      <w:pPr>
        <w:pStyle w:val="ListBullet"/>
      </w:pPr>
      <w:r>
        <w:rPr>
          <w:b w:val="0"/>
        </w:rPr>
        <w:t>Weekly sequence: receive goods/orders → ship → observe local state → place orders simultaneously. Supply line includes everything previously ordered but not yet received.</w:t>
      </w:r>
    </w:p>
    <w:p>
      <w:pPr>
        <w:pStyle w:val="ListBullet"/>
      </w:pPr>
      <w:r>
        <w:rPr>
          <w:b w:val="0"/>
        </w:rPr>
        <w:t>Policy used in every condition: order = max(0, round[current demand + 0.35 × (24 − net inventory − 0.65 × supply line) + noise]). Net inventory = inventory − backlog; noise has mean 0 and standard deviation 0.8.</w:t>
      </w:r>
    </w:p>
    <w:p>
      <w:pPr>
        <w:pStyle w:val="ListBullet"/>
      </w:pPr>
      <w:r>
        <w:rPr>
          <w:b w:val="0"/>
        </w:rPr>
        <w:t>Training/deadline labels affect neither this policy nor its noise distribution. Different random noise and subsequent chain dynamics generate the observed differences.</w:t>
      </w:r>
    </w:p>
    <w:p>
      <w:r>
        <w:br w:type="page"/>
      </w:r>
    </w:p>
    <w:p>
      <w:pPr>
        <w:pStyle w:val="Heading1"/>
      </w:pPr>
      <w:r>
        <w:t>4. β results: how well was 0.650 recovered?</w:t>
      </w:r>
    </w:p>
    <w:tbl>
      <w:tblPr>
        <w:tblStyle w:val="LightShading-Accent1"/>
        <w:tblW w:type="auto" w:w="0"/>
        <w:tblLook w:firstColumn="1" w:firstRow="1" w:lastColumn="0" w:lastRow="0" w:noHBand="0" w:noVBand="1" w:val="04A0"/>
      </w:tblPr>
      <w:tblGrid>
        <w:gridCol w:w="2074"/>
        <w:gridCol w:w="2074"/>
        <w:gridCol w:w="2074"/>
        <w:gridCol w:w="2074"/>
        <w:gridCol w:w="2074"/>
      </w:tblGrid>
      <w:tr>
        <w:trPr>
          <w:tblHeader/>
          <w:cantSplit/>
        </w:trPr>
        <w:tc>
          <w:tcPr>
            <w:tcW w:type="dxa" w:w="2074"/>
          </w:tcPr>
          <w:p>
            <w:pPr>
              <w:spacing w:after="60"/>
            </w:pPr>
            <w:r>
              <w:rPr>
                <w:sz w:val="18"/>
              </w:rPr>
              <w:t>Condition</w:t>
            </w:r>
          </w:p>
        </w:tc>
        <w:tc>
          <w:tcPr>
            <w:tcW w:type="dxa" w:w="2074"/>
          </w:tcPr>
          <w:p>
            <w:pPr>
              <w:spacing w:after="60"/>
            </w:pPr>
            <w:r>
              <w:rPr>
                <w:sz w:val="18"/>
              </w:rPr>
              <w:t>Groups</w:t>
            </w:r>
          </w:p>
        </w:tc>
        <w:tc>
          <w:tcPr>
            <w:tcW w:type="dxa" w:w="2074"/>
          </w:tcPr>
          <w:p>
            <w:pPr>
              <w:spacing w:after="60"/>
            </w:pPr>
            <w:r>
              <w:rPr>
                <w:sz w:val="18"/>
              </w:rPr>
              <w:t>Mean β</w:t>
            </w:r>
          </w:p>
        </w:tc>
        <w:tc>
          <w:tcPr>
            <w:tcW w:type="dxa" w:w="2074"/>
          </w:tcPr>
          <w:p>
            <w:pPr>
              <w:spacing w:after="60"/>
            </w:pPr>
            <w:r>
              <w:rPr>
                <w:sz w:val="18"/>
              </w:rPr>
              <w:t>Group SD</w:t>
            </w:r>
          </w:p>
        </w:tc>
        <w:tc>
          <w:tcPr>
            <w:tcW w:type="dxa" w:w="2074"/>
          </w:tcPr>
          <w:p>
            <w:pPr>
              <w:spacing w:after="60"/>
            </w:pPr>
            <w:r>
              <w:rPr>
                <w:sz w:val="18"/>
              </w:rPr>
              <w:t>Error vs 0.650</w:t>
            </w:r>
          </w:p>
        </w:tc>
      </w:tr>
      <w:tr>
        <w:trPr>
          <w:cantSplit/>
        </w:trPr>
        <w:tc>
          <w:tcPr>
            <w:tcW w:type="dxa" w:w="2074"/>
          </w:tcPr>
          <w:p>
            <w:pPr>
              <w:spacing w:after="60"/>
            </w:pPr>
            <w:r>
              <w:rPr>
                <w:sz w:val="18"/>
              </w:rPr>
              <w:t>Standard, 60 s</w:t>
            </w:r>
          </w:p>
        </w:tc>
        <w:tc>
          <w:tcPr>
            <w:tcW w:type="dxa" w:w="2074"/>
          </w:tcPr>
          <w:p>
            <w:pPr>
              <w:spacing w:after="60"/>
            </w:pPr>
            <w:r>
              <w:rPr>
                <w:sz w:val="18"/>
              </w:rPr>
              <w:t>4</w:t>
            </w:r>
          </w:p>
        </w:tc>
        <w:tc>
          <w:tcPr>
            <w:tcW w:type="dxa" w:w="2074"/>
          </w:tcPr>
          <w:p>
            <w:pPr>
              <w:spacing w:after="60"/>
            </w:pPr>
            <w:r>
              <w:rPr>
                <w:sz w:val="18"/>
              </w:rPr>
              <w:t>0.678</w:t>
            </w:r>
          </w:p>
        </w:tc>
        <w:tc>
          <w:tcPr>
            <w:tcW w:type="dxa" w:w="2074"/>
          </w:tcPr>
          <w:p>
            <w:pPr>
              <w:spacing w:after="60"/>
            </w:pPr>
            <w:r>
              <w:rPr>
                <w:sz w:val="18"/>
              </w:rPr>
              <w:t>0.071</w:t>
            </w:r>
          </w:p>
        </w:tc>
        <w:tc>
          <w:tcPr>
            <w:tcW w:type="dxa" w:w="2074"/>
          </w:tcPr>
          <w:p>
            <w:pPr>
              <w:spacing w:after="60"/>
            </w:pPr>
            <w:r>
              <w:rPr>
                <w:sz w:val="18"/>
              </w:rPr>
              <w:t>+0.028</w:t>
            </w:r>
          </w:p>
        </w:tc>
      </w:tr>
      <w:tr>
        <w:trPr>
          <w:cantSplit/>
        </w:trPr>
        <w:tc>
          <w:tcPr>
            <w:tcW w:type="dxa" w:w="2074"/>
          </w:tcPr>
          <w:p>
            <w:pPr>
              <w:spacing w:after="60"/>
            </w:pPr>
            <w:r>
              <w:rPr>
                <w:sz w:val="18"/>
              </w:rPr>
              <w:t>Trained, 60 s</w:t>
            </w:r>
          </w:p>
        </w:tc>
        <w:tc>
          <w:tcPr>
            <w:tcW w:type="dxa" w:w="2074"/>
          </w:tcPr>
          <w:p>
            <w:pPr>
              <w:spacing w:after="60"/>
            </w:pPr>
            <w:r>
              <w:rPr>
                <w:sz w:val="18"/>
              </w:rPr>
              <w:t>4</w:t>
            </w:r>
          </w:p>
        </w:tc>
        <w:tc>
          <w:tcPr>
            <w:tcW w:type="dxa" w:w="2074"/>
          </w:tcPr>
          <w:p>
            <w:pPr>
              <w:spacing w:after="60"/>
            </w:pPr>
            <w:r>
              <w:rPr>
                <w:sz w:val="18"/>
              </w:rPr>
              <w:t>0.729</w:t>
            </w:r>
          </w:p>
        </w:tc>
        <w:tc>
          <w:tcPr>
            <w:tcW w:type="dxa" w:w="2074"/>
          </w:tcPr>
          <w:p>
            <w:pPr>
              <w:spacing w:after="60"/>
            </w:pPr>
            <w:r>
              <w:rPr>
                <w:sz w:val="18"/>
              </w:rPr>
              <w:t>0.036</w:t>
            </w:r>
          </w:p>
        </w:tc>
        <w:tc>
          <w:tcPr>
            <w:tcW w:type="dxa" w:w="2074"/>
          </w:tcPr>
          <w:p>
            <w:pPr>
              <w:spacing w:after="60"/>
            </w:pPr>
            <w:r>
              <w:rPr>
                <w:sz w:val="18"/>
              </w:rPr>
              <w:t>+0.079</w:t>
            </w:r>
          </w:p>
        </w:tc>
      </w:tr>
      <w:tr>
        <w:trPr>
          <w:cantSplit/>
        </w:trPr>
        <w:tc>
          <w:tcPr>
            <w:tcW w:type="dxa" w:w="2074"/>
          </w:tcPr>
          <w:p>
            <w:pPr>
              <w:spacing w:after="60"/>
            </w:pPr>
            <w:r>
              <w:rPr>
                <w:sz w:val="18"/>
              </w:rPr>
              <w:t>Standard, 120 s</w:t>
            </w:r>
          </w:p>
        </w:tc>
        <w:tc>
          <w:tcPr>
            <w:tcW w:type="dxa" w:w="2074"/>
          </w:tcPr>
          <w:p>
            <w:pPr>
              <w:spacing w:after="60"/>
            </w:pPr>
            <w:r>
              <w:rPr>
                <w:sz w:val="18"/>
              </w:rPr>
              <w:t>4</w:t>
            </w:r>
          </w:p>
        </w:tc>
        <w:tc>
          <w:tcPr>
            <w:tcW w:type="dxa" w:w="2074"/>
          </w:tcPr>
          <w:p>
            <w:pPr>
              <w:spacing w:after="60"/>
            </w:pPr>
            <w:r>
              <w:rPr>
                <w:sz w:val="18"/>
              </w:rPr>
              <w:t>0.702</w:t>
            </w:r>
          </w:p>
        </w:tc>
        <w:tc>
          <w:tcPr>
            <w:tcW w:type="dxa" w:w="2074"/>
          </w:tcPr>
          <w:p>
            <w:pPr>
              <w:spacing w:after="60"/>
            </w:pPr>
            <w:r>
              <w:rPr>
                <w:sz w:val="18"/>
              </w:rPr>
              <w:t>0.073</w:t>
            </w:r>
          </w:p>
        </w:tc>
        <w:tc>
          <w:tcPr>
            <w:tcW w:type="dxa" w:w="2074"/>
          </w:tcPr>
          <w:p>
            <w:pPr>
              <w:spacing w:after="60"/>
            </w:pPr>
            <w:r>
              <w:rPr>
                <w:sz w:val="18"/>
              </w:rPr>
              <w:t>+0.052</w:t>
            </w:r>
          </w:p>
        </w:tc>
      </w:tr>
      <w:tr>
        <w:trPr>
          <w:cantSplit/>
        </w:trPr>
        <w:tc>
          <w:tcPr>
            <w:tcW w:type="dxa" w:w="2074"/>
          </w:tcPr>
          <w:p>
            <w:pPr>
              <w:spacing w:after="60"/>
            </w:pPr>
            <w:r>
              <w:rPr>
                <w:sz w:val="18"/>
              </w:rPr>
              <w:t>Trained, 120 s</w:t>
            </w:r>
          </w:p>
        </w:tc>
        <w:tc>
          <w:tcPr>
            <w:tcW w:type="dxa" w:w="2074"/>
          </w:tcPr>
          <w:p>
            <w:pPr>
              <w:spacing w:after="60"/>
            </w:pPr>
            <w:r>
              <w:rPr>
                <w:sz w:val="18"/>
              </w:rPr>
              <w:t>4</w:t>
            </w:r>
          </w:p>
        </w:tc>
        <w:tc>
          <w:tcPr>
            <w:tcW w:type="dxa" w:w="2074"/>
          </w:tcPr>
          <w:p>
            <w:pPr>
              <w:spacing w:after="60"/>
            </w:pPr>
            <w:r>
              <w:rPr>
                <w:sz w:val="18"/>
              </w:rPr>
              <w:t>0.676</w:t>
            </w:r>
          </w:p>
        </w:tc>
        <w:tc>
          <w:tcPr>
            <w:tcW w:type="dxa" w:w="2074"/>
          </w:tcPr>
          <w:p>
            <w:pPr>
              <w:spacing w:after="60"/>
            </w:pPr>
            <w:r>
              <w:rPr>
                <w:sz w:val="18"/>
              </w:rPr>
              <w:t>0.074</w:t>
            </w:r>
          </w:p>
        </w:tc>
        <w:tc>
          <w:tcPr>
            <w:tcW w:type="dxa" w:w="2074"/>
          </w:tcPr>
          <w:p>
            <w:pPr>
              <w:spacing w:after="60"/>
            </w:pPr>
            <w:r>
              <w:rPr>
                <w:sz w:val="18"/>
              </w:rPr>
              <w:t>+0.026</w:t>
            </w:r>
          </w:p>
        </w:tc>
      </w:tr>
    </w:tbl>
    <w:p>
      <w:r>
        <w:t>Mean β = average of four group means. Group SD describes spread across those four groups; it is not a confidence interval.</w:t>
      </w:r>
    </w:p>
    <w:p>
      <w:r>
        <w:drawing>
          <wp:inline xmlns:a="http://schemas.openxmlformats.org/drawingml/2006/main" xmlns:pic="http://schemas.openxmlformats.org/drawingml/2006/picture">
            <wp:extent cx="6400800" cy="1719775"/>
            <wp:docPr id="1" name="Picture 1"/>
            <wp:cNvGraphicFramePr>
              <a:graphicFrameLocks noChangeAspect="1"/>
            </wp:cNvGraphicFramePr>
            <a:graphic>
              <a:graphicData uri="http://schemas.openxmlformats.org/drawingml/2006/picture">
                <pic:pic>
                  <pic:nvPicPr>
                    <pic:cNvPr id="0" name="latest_group_beta.png"/>
                    <pic:cNvPicPr/>
                  </pic:nvPicPr>
                  <pic:blipFill>
                    <a:blip r:embed="rId11"/>
                    <a:stretch>
                      <a:fillRect/>
                    </a:stretch>
                  </pic:blipFill>
                  <pic:spPr>
                    <a:xfrm>
                      <a:off x="0" y="0"/>
                      <a:ext cx="6400800" cy="1719775"/>
                    </a:xfrm>
                    <a:prstGeom prst="rect"/>
                  </pic:spPr>
                </pic:pic>
              </a:graphicData>
            </a:graphic>
          </wp:inline>
        </w:drawing>
      </w:r>
    </w:p>
    <w:p>
      <w:pPr>
        <w:pStyle w:val="Caption"/>
      </w:pPr>
      <w:r>
        <w:t>Each dot is one group; dark bars are condition means; dashed line is the true offline β. No error bars or significance claims are shown.</w:t>
      </w:r>
    </w:p>
    <w:p>
      <w:pPr>
        <w:pStyle w:val="ListBullet"/>
      </w:pPr>
      <w:r>
        <w:rPr>
          <w:b w:val="0"/>
        </w:rPr>
        <w:t>Role-level mean absolute β error: 0.097; root mean squared β error: 0.129. These describe error against the known 0.650.</w:t>
      </w:r>
    </w:p>
    <w:p>
      <w:pPr>
        <w:pStyle w:val="ListBullet"/>
      </w:pPr>
      <w:r>
        <w:rPr>
          <w:b w:val="0"/>
        </w:rPr>
        <w:t>Average in-sample R² = 0.842, range 0.469–0.977. Eleven roles have R² below 0.70; one is below 0.50. All 64 passed the notebook’s relatively permissive checks.</w:t>
      </w:r>
    </w:p>
    <w:p>
      <w:pPr>
        <w:pStyle w:val="Heading1"/>
      </w:pPr>
      <w:r>
        <w:t>5. Hypothesis calculations: descriptive only</w:t>
      </w:r>
    </w:p>
    <w:tbl>
      <w:tblPr>
        <w:tblStyle w:val="LightShading-Accent1"/>
        <w:tblW w:type="auto" w:w="0"/>
        <w:tblLook w:firstColumn="1" w:firstRow="1" w:lastColumn="0" w:lastRow="0" w:noHBand="0" w:noVBand="1" w:val="04A0"/>
      </w:tblPr>
      <w:tblGrid>
        <w:gridCol w:w="3456"/>
        <w:gridCol w:w="3456"/>
        <w:gridCol w:w="3456"/>
      </w:tblGrid>
      <w:tr>
        <w:trPr>
          <w:tblHeader/>
          <w:cantSplit/>
        </w:trPr>
        <w:tc>
          <w:tcPr>
            <w:tcW w:type="dxa" w:w="3456"/>
          </w:tcPr>
          <w:p>
            <w:pPr>
              <w:spacing w:after="60"/>
            </w:pPr>
            <w:r>
              <w:rPr>
                <w:sz w:val="18"/>
              </w:rPr>
              <w:t>Question / contrast</w:t>
            </w:r>
          </w:p>
        </w:tc>
        <w:tc>
          <w:tcPr>
            <w:tcW w:type="dxa" w:w="3456"/>
          </w:tcPr>
          <w:p>
            <w:pPr>
              <w:spacing w:after="60"/>
            </w:pPr>
            <w:r>
              <w:rPr>
                <w:sz w:val="18"/>
              </w:rPr>
              <w:t>Prediction</w:t>
            </w:r>
          </w:p>
        </w:tc>
        <w:tc>
          <w:tcPr>
            <w:tcW w:type="dxa" w:w="3456"/>
          </w:tcPr>
          <w:p>
            <w:pPr>
              <w:spacing w:after="60"/>
            </w:pPr>
            <w:r>
              <w:rPr>
                <w:sz w:val="18"/>
              </w:rPr>
              <w:t>Observed</w:t>
            </w:r>
          </w:p>
        </w:tc>
      </w:tr>
      <w:tr>
        <w:trPr>
          <w:cantSplit/>
        </w:trPr>
        <w:tc>
          <w:tcPr>
            <w:tcW w:type="dxa" w:w="3456"/>
          </w:tcPr>
          <w:p>
            <w:pPr>
              <w:spacing w:after="60"/>
            </w:pPr>
            <w:r>
              <w:rPr>
                <w:sz w:val="18"/>
              </w:rPr>
              <w:t>H1: trained − standard, 60 s</w:t>
            </w:r>
          </w:p>
        </w:tc>
        <w:tc>
          <w:tcPr>
            <w:tcW w:type="dxa" w:w="3456"/>
          </w:tcPr>
          <w:p>
            <w:pPr>
              <w:spacing w:after="60"/>
            </w:pPr>
            <w:r>
              <w:rPr>
                <w:sz w:val="18"/>
              </w:rPr>
              <w:t>&gt; 0</w:t>
            </w:r>
          </w:p>
        </w:tc>
        <w:tc>
          <w:tcPr>
            <w:tcW w:type="dxa" w:w="3456"/>
          </w:tcPr>
          <w:p>
            <w:pPr>
              <w:spacing w:after="60"/>
            </w:pPr>
            <w:r>
              <w:rPr>
                <w:sz w:val="18"/>
              </w:rPr>
              <w:t>+0.0505</w:t>
            </w:r>
          </w:p>
        </w:tc>
      </w:tr>
      <w:tr>
        <w:trPr>
          <w:cantSplit/>
        </w:trPr>
        <w:tc>
          <w:tcPr>
            <w:tcW w:type="dxa" w:w="3456"/>
          </w:tcPr>
          <w:p>
            <w:pPr>
              <w:spacing w:after="60"/>
            </w:pPr>
            <w:r>
              <w:rPr>
                <w:sz w:val="18"/>
              </w:rPr>
              <w:t>H1: trained − standard, 120 s</w:t>
            </w:r>
          </w:p>
        </w:tc>
        <w:tc>
          <w:tcPr>
            <w:tcW w:type="dxa" w:w="3456"/>
          </w:tcPr>
          <w:p>
            <w:pPr>
              <w:spacing w:after="60"/>
            </w:pPr>
            <w:r>
              <w:rPr>
                <w:sz w:val="18"/>
              </w:rPr>
              <w:t>&gt; 0</w:t>
            </w:r>
          </w:p>
        </w:tc>
        <w:tc>
          <w:tcPr>
            <w:tcW w:type="dxa" w:w="3456"/>
          </w:tcPr>
          <w:p>
            <w:pPr>
              <w:spacing w:after="60"/>
            </w:pPr>
            <w:r>
              <w:rPr>
                <w:sz w:val="18"/>
              </w:rPr>
              <w:t>-0.0261</w:t>
            </w:r>
          </w:p>
        </w:tc>
      </w:tr>
      <w:tr>
        <w:trPr>
          <w:cantSplit/>
        </w:trPr>
        <w:tc>
          <w:tcPr>
            <w:tcW w:type="dxa" w:w="3456"/>
          </w:tcPr>
          <w:p>
            <w:pPr>
              <w:spacing w:after="60"/>
            </w:pPr>
            <w:r>
              <w:rPr>
                <w:sz w:val="18"/>
              </w:rPr>
              <w:t>H1: average across both deadlines</w:t>
            </w:r>
          </w:p>
        </w:tc>
        <w:tc>
          <w:tcPr>
            <w:tcW w:type="dxa" w:w="3456"/>
          </w:tcPr>
          <w:p>
            <w:pPr>
              <w:spacing w:after="60"/>
            </w:pPr>
            <w:r>
              <w:rPr>
                <w:sz w:val="18"/>
              </w:rPr>
              <w:t>&gt; 0</w:t>
            </w:r>
          </w:p>
        </w:tc>
        <w:tc>
          <w:tcPr>
            <w:tcW w:type="dxa" w:w="3456"/>
          </w:tcPr>
          <w:p>
            <w:pPr>
              <w:spacing w:after="60"/>
            </w:pPr>
            <w:r>
              <w:rPr>
                <w:sz w:val="18"/>
              </w:rPr>
              <w:t>+0.0122</w:t>
            </w:r>
          </w:p>
        </w:tc>
      </w:tr>
      <w:tr>
        <w:trPr>
          <w:cantSplit/>
        </w:trPr>
        <w:tc>
          <w:tcPr>
            <w:tcW w:type="dxa" w:w="3456"/>
          </w:tcPr>
          <w:p>
            <w:pPr>
              <w:spacing w:after="60"/>
            </w:pPr>
            <w:r>
              <w:rPr>
                <w:sz w:val="18"/>
              </w:rPr>
              <w:t>H2: trained 60 s − trained 120 s</w:t>
            </w:r>
          </w:p>
        </w:tc>
        <w:tc>
          <w:tcPr>
            <w:tcW w:type="dxa" w:w="3456"/>
          </w:tcPr>
          <w:p>
            <w:pPr>
              <w:spacing w:after="60"/>
            </w:pPr>
            <w:r>
              <w:rPr>
                <w:sz w:val="18"/>
              </w:rPr>
              <w:t>&lt; 0</w:t>
            </w:r>
          </w:p>
        </w:tc>
        <w:tc>
          <w:tcPr>
            <w:tcW w:type="dxa" w:w="3456"/>
          </w:tcPr>
          <w:p>
            <w:pPr>
              <w:spacing w:after="60"/>
            </w:pPr>
            <w:r>
              <w:rPr>
                <w:sz w:val="18"/>
              </w:rPr>
              <w:t>+0.0533</w:t>
            </w:r>
          </w:p>
        </w:tc>
      </w:tr>
      <w:tr>
        <w:trPr>
          <w:cantSplit/>
        </w:trPr>
        <w:tc>
          <w:tcPr>
            <w:tcW w:type="dxa" w:w="3456"/>
          </w:tcPr>
          <w:p>
            <w:pPr>
              <w:spacing w:after="60"/>
            </w:pPr>
            <w:r>
              <w:rPr>
                <w:sz w:val="18"/>
              </w:rPr>
              <w:t>Interaction: training effect, 120 s − 60 s</w:t>
            </w:r>
          </w:p>
        </w:tc>
        <w:tc>
          <w:tcPr>
            <w:tcW w:type="dxa" w:w="3456"/>
          </w:tcPr>
          <w:p>
            <w:pPr>
              <w:spacing w:after="60"/>
            </w:pPr>
            <w:r>
              <w:rPr>
                <w:sz w:val="18"/>
              </w:rPr>
              <w:t>Exploratory</w:t>
            </w:r>
          </w:p>
        </w:tc>
        <w:tc>
          <w:tcPr>
            <w:tcW w:type="dxa" w:w="3456"/>
          </w:tcPr>
          <w:p>
            <w:pPr>
              <w:spacing w:after="60"/>
            </w:pPr>
            <w:r>
              <w:rPr>
                <w:sz w:val="18"/>
              </w:rPr>
              <w:t>-0.0766</w:t>
            </w:r>
          </w:p>
        </w:tc>
      </w:tr>
    </w:tbl>
    <w:p>
      <w:pPr>
        <w:pStyle w:val="ListBullet"/>
      </w:pPr>
      <w:r>
        <w:rPr>
          <w:b/>
          <w:color w:val="9B3828"/>
        </w:rPr>
        <w:t>H1 signs differ across deadlines; H2 has the opposite sign to its prediction. Neither is evidence about training or time: no such effects exist in the offline generator.</w:t>
      </w:r>
    </w:p>
    <w:p>
      <w:pPr>
        <w:pStyle w:val="ListBullet"/>
      </w:pPr>
      <w:r>
        <w:rPr>
          <w:b w:val="0"/>
        </w:rPr>
        <w:t>Confidence intervals and p-values were not produced. Four groups per condition are below the notebook’s five-group threshold for bootstrap intervals. Five is a display rule, not proof of adequate statistical power.</w:t>
      </w:r>
    </w:p>
    <w:p>
      <w:r>
        <w:br w:type="page"/>
      </w:r>
    </w:p>
    <w:p>
      <w:pPr>
        <w:pStyle w:val="Heading1"/>
      </w:pPr>
      <w:r>
        <w:t>6. Operating results</w:t>
      </w:r>
    </w:p>
    <w:tbl>
      <w:tblPr>
        <w:tblStyle w:val="LightShading-Accent1"/>
        <w:tblW w:type="auto" w:w="0"/>
        <w:tblLook w:firstColumn="1" w:firstRow="1" w:lastColumn="0" w:lastRow="0" w:noHBand="0" w:noVBand="1" w:val="04A0"/>
      </w:tblPr>
      <w:tblGrid>
        <w:gridCol w:w="3456"/>
        <w:gridCol w:w="3456"/>
        <w:gridCol w:w="3456"/>
      </w:tblGrid>
      <w:tr>
        <w:trPr>
          <w:tblHeader/>
          <w:cantSplit/>
        </w:trPr>
        <w:tc>
          <w:tcPr>
            <w:tcW w:type="dxa" w:w="3456"/>
          </w:tcPr>
          <w:p>
            <w:pPr>
              <w:spacing w:after="60"/>
            </w:pPr>
            <w:r>
              <w:rPr>
                <w:sz w:val="18"/>
              </w:rPr>
              <w:t>Condition</w:t>
            </w:r>
          </w:p>
        </w:tc>
        <w:tc>
          <w:tcPr>
            <w:tcW w:type="dxa" w:w="3456"/>
          </w:tcPr>
          <w:p>
            <w:pPr>
              <w:spacing w:after="60"/>
            </w:pPr>
            <w:r>
              <w:rPr>
                <w:sz w:val="18"/>
              </w:rPr>
              <w:t>Mean group cost</w:t>
            </w:r>
          </w:p>
        </w:tc>
        <w:tc>
          <w:tcPr>
            <w:tcW w:type="dxa" w:w="3456"/>
          </w:tcPr>
          <w:p>
            <w:pPr>
              <w:spacing w:after="60"/>
            </w:pPr>
            <w:r>
              <w:rPr>
                <w:sz w:val="18"/>
              </w:rPr>
              <w:t>Group cost range</w:t>
            </w:r>
          </w:p>
        </w:tc>
      </w:tr>
      <w:tr>
        <w:trPr>
          <w:cantSplit/>
        </w:trPr>
        <w:tc>
          <w:tcPr>
            <w:tcW w:type="dxa" w:w="3456"/>
          </w:tcPr>
          <w:p>
            <w:pPr>
              <w:spacing w:after="60"/>
            </w:pPr>
            <w:r>
              <w:rPr>
                <w:sz w:val="18"/>
              </w:rPr>
              <w:t>Standard, 60 s</w:t>
            </w:r>
          </w:p>
        </w:tc>
        <w:tc>
          <w:tcPr>
            <w:tcW w:type="dxa" w:w="3456"/>
          </w:tcPr>
          <w:p>
            <w:pPr>
              <w:spacing w:after="60"/>
            </w:pPr>
            <w:r>
              <w:rPr>
                <w:sz w:val="18"/>
              </w:rPr>
              <w:t>889.62</w:t>
            </w:r>
          </w:p>
        </w:tc>
        <w:tc>
          <w:tcPr>
            <w:tcW w:type="dxa" w:w="3456"/>
          </w:tcPr>
          <w:p>
            <w:pPr>
              <w:spacing w:after="60"/>
            </w:pPr>
            <w:r>
              <w:rPr>
                <w:sz w:val="18"/>
              </w:rPr>
              <w:t>869.0–906.0</w:t>
            </w:r>
          </w:p>
        </w:tc>
      </w:tr>
      <w:tr>
        <w:trPr>
          <w:cantSplit/>
        </w:trPr>
        <w:tc>
          <w:tcPr>
            <w:tcW w:type="dxa" w:w="3456"/>
          </w:tcPr>
          <w:p>
            <w:pPr>
              <w:spacing w:after="60"/>
            </w:pPr>
            <w:r>
              <w:rPr>
                <w:sz w:val="18"/>
              </w:rPr>
              <w:t>Trained, 60 s</w:t>
            </w:r>
          </w:p>
        </w:tc>
        <w:tc>
          <w:tcPr>
            <w:tcW w:type="dxa" w:w="3456"/>
          </w:tcPr>
          <w:p>
            <w:pPr>
              <w:spacing w:after="60"/>
            </w:pPr>
            <w:r>
              <w:rPr>
                <w:sz w:val="18"/>
              </w:rPr>
              <w:t>892.12</w:t>
            </w:r>
          </w:p>
        </w:tc>
        <w:tc>
          <w:tcPr>
            <w:tcW w:type="dxa" w:w="3456"/>
          </w:tcPr>
          <w:p>
            <w:pPr>
              <w:spacing w:after="60"/>
            </w:pPr>
            <w:r>
              <w:rPr>
                <w:sz w:val="18"/>
              </w:rPr>
              <w:t>871.5–909.5</w:t>
            </w:r>
          </w:p>
        </w:tc>
      </w:tr>
      <w:tr>
        <w:trPr>
          <w:cantSplit/>
        </w:trPr>
        <w:tc>
          <w:tcPr>
            <w:tcW w:type="dxa" w:w="3456"/>
          </w:tcPr>
          <w:p>
            <w:pPr>
              <w:spacing w:after="60"/>
            </w:pPr>
            <w:r>
              <w:rPr>
                <w:sz w:val="18"/>
              </w:rPr>
              <w:t>Standard, 120 s</w:t>
            </w:r>
          </w:p>
        </w:tc>
        <w:tc>
          <w:tcPr>
            <w:tcW w:type="dxa" w:w="3456"/>
          </w:tcPr>
          <w:p>
            <w:pPr>
              <w:spacing w:after="60"/>
            </w:pPr>
            <w:r>
              <w:rPr>
                <w:sz w:val="18"/>
              </w:rPr>
              <w:t>911.50</w:t>
            </w:r>
          </w:p>
        </w:tc>
        <w:tc>
          <w:tcPr>
            <w:tcW w:type="dxa" w:w="3456"/>
          </w:tcPr>
          <w:p>
            <w:pPr>
              <w:spacing w:after="60"/>
            </w:pPr>
            <w:r>
              <w:rPr>
                <w:sz w:val="18"/>
              </w:rPr>
              <w:t>884.0–952.0</w:t>
            </w:r>
          </w:p>
        </w:tc>
      </w:tr>
      <w:tr>
        <w:trPr>
          <w:cantSplit/>
        </w:trPr>
        <w:tc>
          <w:tcPr>
            <w:tcW w:type="dxa" w:w="3456"/>
          </w:tcPr>
          <w:p>
            <w:pPr>
              <w:spacing w:after="60"/>
            </w:pPr>
            <w:r>
              <w:rPr>
                <w:sz w:val="18"/>
              </w:rPr>
              <w:t>Trained, 120 s</w:t>
            </w:r>
          </w:p>
        </w:tc>
        <w:tc>
          <w:tcPr>
            <w:tcW w:type="dxa" w:w="3456"/>
          </w:tcPr>
          <w:p>
            <w:pPr>
              <w:spacing w:after="60"/>
            </w:pPr>
            <w:r>
              <w:rPr>
                <w:sz w:val="18"/>
              </w:rPr>
              <w:t>904.38</w:t>
            </w:r>
          </w:p>
        </w:tc>
        <w:tc>
          <w:tcPr>
            <w:tcW w:type="dxa" w:w="3456"/>
          </w:tcPr>
          <w:p>
            <w:pPr>
              <w:spacing w:after="60"/>
            </w:pPr>
            <w:r>
              <w:rPr>
                <w:sz w:val="18"/>
              </w:rPr>
              <w:t>878.0–920.5</w:t>
            </w:r>
          </w:p>
        </w:tc>
      </w:tr>
    </w:tbl>
    <w:p>
      <w:r>
        <w:t>Costs sum all four roles over 36 weeks. They are simulated cost units, not money charged by the API. All-group total = 14,390.5: inventory holding 14,229.5 + backlog 161.0. Lowest mean cost is Standard/60 s, but this cannot be attributed to its condition label.</w:t>
      </w:r>
    </w:p>
    <w:tbl>
      <w:tblPr>
        <w:tblStyle w:val="LightShading-Accent1"/>
        <w:tblW w:type="auto" w:w="0"/>
        <w:tblLook w:firstColumn="1" w:firstRow="1" w:lastColumn="0" w:lastRow="0" w:noHBand="0" w:noVBand="1" w:val="04A0"/>
      </w:tblPr>
      <w:tblGrid>
        <w:gridCol w:w="2592"/>
        <w:gridCol w:w="2592"/>
        <w:gridCol w:w="2592"/>
        <w:gridCol w:w="2592"/>
      </w:tblGrid>
      <w:tr>
        <w:trPr>
          <w:tblHeader/>
          <w:cantSplit/>
        </w:trPr>
        <w:tc>
          <w:tcPr>
            <w:tcW w:type="dxa" w:w="2592"/>
          </w:tcPr>
          <w:p>
            <w:pPr>
              <w:spacing w:after="60"/>
            </w:pPr>
            <w:r>
              <w:rPr>
                <w:sz w:val="18"/>
              </w:rPr>
              <w:t>Role</w:t>
            </w:r>
          </w:p>
        </w:tc>
        <w:tc>
          <w:tcPr>
            <w:tcW w:type="dxa" w:w="2592"/>
          </w:tcPr>
          <w:p>
            <w:pPr>
              <w:spacing w:after="60"/>
            </w:pPr>
            <w:r>
              <w:rPr>
                <w:sz w:val="18"/>
              </w:rPr>
              <w:t>Mean amplification</w:t>
            </w:r>
          </w:p>
        </w:tc>
        <w:tc>
          <w:tcPr>
            <w:tcW w:type="dxa" w:w="2592"/>
          </w:tcPr>
          <w:p>
            <w:pPr>
              <w:spacing w:after="60"/>
            </w:pPr>
            <w:r>
              <w:rPr>
                <w:sz w:val="18"/>
              </w:rPr>
              <w:t>Maximum order</w:t>
            </w:r>
          </w:p>
        </w:tc>
        <w:tc>
          <w:tcPr>
            <w:tcW w:type="dxa" w:w="2592"/>
          </w:tcPr>
          <w:p>
            <w:pPr>
              <w:spacing w:after="60"/>
            </w:pPr>
            <w:r>
              <w:rPr>
                <w:sz w:val="18"/>
              </w:rPr>
              <w:t>Maximum backlog</w:t>
            </w:r>
          </w:p>
        </w:tc>
      </w:tr>
      <w:tr>
        <w:trPr>
          <w:cantSplit/>
        </w:trPr>
        <w:tc>
          <w:tcPr>
            <w:tcW w:type="dxa" w:w="2592"/>
          </w:tcPr>
          <w:p>
            <w:pPr>
              <w:spacing w:after="60"/>
            </w:pPr>
            <w:r>
              <w:rPr>
                <w:sz w:val="18"/>
              </w:rPr>
              <w:t>Retailer</w:t>
            </w:r>
          </w:p>
        </w:tc>
        <w:tc>
          <w:tcPr>
            <w:tcW w:type="dxa" w:w="2592"/>
          </w:tcPr>
          <w:p>
            <w:pPr>
              <w:spacing w:after="60"/>
            </w:pPr>
            <w:r>
              <w:rPr>
                <w:sz w:val="18"/>
              </w:rPr>
              <w:t>1.20</w:t>
            </w:r>
          </w:p>
        </w:tc>
        <w:tc>
          <w:tcPr>
            <w:tcW w:type="dxa" w:w="2592"/>
          </w:tcPr>
          <w:p>
            <w:pPr>
              <w:spacing w:after="60"/>
            </w:pPr>
            <w:r>
              <w:rPr>
                <w:sz w:val="18"/>
              </w:rPr>
              <w:t>12</w:t>
            </w:r>
          </w:p>
        </w:tc>
        <w:tc>
          <w:tcPr>
            <w:tcW w:type="dxa" w:w="2592"/>
          </w:tcPr>
          <w:p>
            <w:pPr>
              <w:spacing w:after="60"/>
            </w:pPr>
            <w:r>
              <w:rPr>
                <w:sz w:val="18"/>
              </w:rPr>
              <w:t>0</w:t>
            </w:r>
          </w:p>
        </w:tc>
      </w:tr>
      <w:tr>
        <w:trPr>
          <w:cantSplit/>
        </w:trPr>
        <w:tc>
          <w:tcPr>
            <w:tcW w:type="dxa" w:w="2592"/>
          </w:tcPr>
          <w:p>
            <w:pPr>
              <w:spacing w:after="60"/>
            </w:pPr>
            <w:r>
              <w:rPr>
                <w:sz w:val="18"/>
              </w:rPr>
              <w:t>Wholesaler</w:t>
            </w:r>
          </w:p>
        </w:tc>
        <w:tc>
          <w:tcPr>
            <w:tcW w:type="dxa" w:w="2592"/>
          </w:tcPr>
          <w:p>
            <w:pPr>
              <w:spacing w:after="60"/>
            </w:pPr>
            <w:r>
              <w:rPr>
                <w:sz w:val="18"/>
              </w:rPr>
              <w:t>1.72</w:t>
            </w:r>
          </w:p>
        </w:tc>
        <w:tc>
          <w:tcPr>
            <w:tcW w:type="dxa" w:w="2592"/>
          </w:tcPr>
          <w:p>
            <w:pPr>
              <w:spacing w:after="60"/>
            </w:pPr>
            <w:r>
              <w:rPr>
                <w:sz w:val="18"/>
              </w:rPr>
              <w:t>16</w:t>
            </w:r>
          </w:p>
        </w:tc>
        <w:tc>
          <w:tcPr>
            <w:tcW w:type="dxa" w:w="2592"/>
          </w:tcPr>
          <w:p>
            <w:pPr>
              <w:spacing w:after="60"/>
            </w:pPr>
            <w:r>
              <w:rPr>
                <w:sz w:val="18"/>
              </w:rPr>
              <w:t>0</w:t>
            </w:r>
          </w:p>
        </w:tc>
      </w:tr>
      <w:tr>
        <w:trPr>
          <w:cantSplit/>
        </w:trPr>
        <w:tc>
          <w:tcPr>
            <w:tcW w:type="dxa" w:w="2592"/>
          </w:tcPr>
          <w:p>
            <w:pPr>
              <w:spacing w:after="60"/>
            </w:pPr>
            <w:r>
              <w:rPr>
                <w:sz w:val="18"/>
              </w:rPr>
              <w:t>Distributor</w:t>
            </w:r>
          </w:p>
        </w:tc>
        <w:tc>
          <w:tcPr>
            <w:tcW w:type="dxa" w:w="2592"/>
          </w:tcPr>
          <w:p>
            <w:pPr>
              <w:spacing w:after="60"/>
            </w:pPr>
            <w:r>
              <w:rPr>
                <w:sz w:val="18"/>
              </w:rPr>
              <w:t>2.01</w:t>
            </w:r>
          </w:p>
        </w:tc>
        <w:tc>
          <w:tcPr>
            <w:tcW w:type="dxa" w:w="2592"/>
          </w:tcPr>
          <w:p>
            <w:pPr>
              <w:spacing w:after="60"/>
            </w:pPr>
            <w:r>
              <w:rPr>
                <w:sz w:val="18"/>
              </w:rPr>
              <w:t>18</w:t>
            </w:r>
          </w:p>
        </w:tc>
        <w:tc>
          <w:tcPr>
            <w:tcW w:type="dxa" w:w="2592"/>
          </w:tcPr>
          <w:p>
            <w:pPr>
              <w:spacing w:after="60"/>
            </w:pPr>
            <w:r>
              <w:rPr>
                <w:sz w:val="18"/>
              </w:rPr>
              <w:t>4</w:t>
            </w:r>
          </w:p>
        </w:tc>
      </w:tr>
      <w:tr>
        <w:trPr>
          <w:cantSplit/>
        </w:trPr>
        <w:tc>
          <w:tcPr>
            <w:tcW w:type="dxa" w:w="2592"/>
          </w:tcPr>
          <w:p>
            <w:pPr>
              <w:spacing w:after="60"/>
            </w:pPr>
            <w:r>
              <w:rPr>
                <w:sz w:val="18"/>
              </w:rPr>
              <w:t>Factory</w:t>
            </w:r>
          </w:p>
        </w:tc>
        <w:tc>
          <w:tcPr>
            <w:tcW w:type="dxa" w:w="2592"/>
          </w:tcPr>
          <w:p>
            <w:pPr>
              <w:spacing w:after="60"/>
            </w:pPr>
            <w:r>
              <w:rPr>
                <w:sz w:val="18"/>
              </w:rPr>
              <w:t>2.07</w:t>
            </w:r>
          </w:p>
        </w:tc>
        <w:tc>
          <w:tcPr>
            <w:tcW w:type="dxa" w:w="2592"/>
          </w:tcPr>
          <w:p>
            <w:pPr>
              <w:spacing w:after="60"/>
            </w:pPr>
            <w:r>
              <w:rPr>
                <w:sz w:val="18"/>
              </w:rPr>
              <w:t>22</w:t>
            </w:r>
          </w:p>
        </w:tc>
        <w:tc>
          <w:tcPr>
            <w:tcW w:type="dxa" w:w="2592"/>
          </w:tcPr>
          <w:p>
            <w:pPr>
              <w:spacing w:after="60"/>
            </w:pPr>
            <w:r>
              <w:rPr>
                <w:sz w:val="18"/>
              </w:rPr>
              <w:t>9</w:t>
            </w:r>
          </w:p>
        </w:tc>
      </w:tr>
    </w:tbl>
    <w:p>
      <w:pPr>
        <w:pStyle w:val="ListBullet"/>
      </w:pPr>
      <w:r>
        <w:rPr>
          <w:b w:val="0"/>
        </w:rPr>
        <w:t>Amplification = order variance ÷ incoming-demand variance, averaged over roles of the same type. Values above 1 indicate locally amplified orders. This is descriptive under the changing demand path.</w:t>
      </w:r>
    </w:p>
    <w:p>
      <w:pPr>
        <w:pStyle w:val="ListBullet"/>
      </w:pPr>
      <w:r>
        <w:rPr>
          <w:b w:val="0"/>
        </w:rPr>
        <w:t>Backlog was positive in 49 of 2,304 role-weeks (2.13%). Zero orders occurred 13 times: 12 factory and 1 distributor. Maximum order was 22; maximum inventory 30; maximum backlog 9.</w:t>
      </w:r>
    </w:p>
    <w:p>
      <w:pPr>
        <w:pStyle w:val="Heading1"/>
      </w:pPr>
      <w:r>
        <w:t>7. Reliability and what the checks mean</w:t>
      </w:r>
    </w:p>
    <w:p>
      <w:pPr>
        <w:pStyle w:val="ListBullet"/>
      </w:pPr>
      <w:r>
        <w:rPr>
          <w:b w:val="0"/>
        </w:rPr>
        <w:t>All 64 role fits and 16 groups were included; no fallbacks or failure records. The report audit matched all 2,304 saved decisions, replayed all stock-flow states, and recomputed group means, contrasts, fit statistics, costs, and amplification ratios.</w:t>
      </w:r>
    </w:p>
    <w:p>
      <w:pPr>
        <w:pStyle w:val="ListBullet"/>
      </w:pPr>
      <w:r>
        <w:rPr>
          <w:b w:val="0"/>
        </w:rPr>
        <w:t>β was estimated jointly with forecast smoothing, inventory adjustment, and a stock target using multistart nonlinear least squares; β is bounded from 0 to 2. Zero orders are retained through clipping. Full parameters and diagnostics are in the workbook.</w:t>
      </w:r>
    </w:p>
    <w:p>
      <w:pPr>
        <w:pStyle w:val="ListBullet"/>
      </w:pPr>
      <w:r>
        <w:rPr>
          <w:b w:val="0"/>
        </w:rPr>
        <w:t>The generating policy closely matches the fitted model, so a good fit is expected. This run verifies operation under one synthetic policy; it does not validate human behavior, GPT behavior, or individual β precision.</w:t>
      </w:r>
    </w:p>
    <w:p>
      <w:pPr>
        <w:pStyle w:val="Heading1"/>
      </w:pPr>
      <w:r>
        <w:t>8. What to do next</w:t>
      </w:r>
    </w:p>
    <w:p>
      <w:pPr>
        <w:pStyle w:val="ListBullet"/>
      </w:pPr>
      <w:r>
        <w:rPr>
          <w:b/>
          <w:color w:val="9B3828"/>
        </w:rPr>
        <w:t>Save the intended notebook settings: the selected run’s manifest records 4 groups/cell and 36 weeks, but the notebook currently saved on disk still shows 1 and 24. This report uses the run manifest and results, not that older display.</w:t>
      </w:r>
    </w:p>
    <w:p>
      <w:pPr>
        <w:pStyle w:val="ListBullet"/>
      </w:pPr>
      <w:r>
        <w:rPr>
          <w:b w:val="0"/>
        </w:rPr>
        <w:t>For a behavioral pilot, use API mode and inspect actual GPT orders, fit quality, and response times first. A 60/120-second API deadline includes network/server time and does not reproduce human thinking time.</w:t>
      </w:r>
    </w:p>
    <w:p>
      <w:pPr>
        <w:pStyle w:val="ListBullet"/>
      </w:pPr>
      <w:r>
        <w:rPr>
          <w:b w:val="0"/>
        </w:rPr>
        <w:t>Before testing H1/H2, predefine the sample, model, training, exclusions, and primary contrasts. Increasing offline sample size can study estimator recovery, but cannot test training or deadline effects.</w:t>
      </w:r>
    </w:p>
    <w:p>
      <w:pPr>
        <w:pStyle w:val="Heading1"/>
      </w:pPr>
      <w:r>
        <w:t>9. Full detail and traceability</w:t>
      </w:r>
    </w:p>
    <w:p>
      <w:r>
        <w:t>Companion: Beer_Game_Offline_Result_Details.xlsx. It contains all 16 groups, all 64 fitted roles and performance records, all 2,304 decisions, all 2,304 complete stored prompts, every contrast, quality checks, settings, software versions, variable definitions, and this audit. Values retain their original precision. Filter “All decisions” by group_id and role to inspect one 36-week history.</w:t>
      </w:r>
    </w:p>
    <w:p>
      <w:r>
        <w:t>Source: results/offline_8edb990c49951ceb; created 26 September 2026 at 20:20:50 UTC. Protocol 1.0; seed 20260926; replicate pilot-01. report_provenance.json records source-file hashes. The previous report is preserved in reports/archive/offline_018428cd23c456eb/.</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Synthetic data • No GPT or human observations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LATEST OFFLINE BEER-GAME RESULTS • 26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B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