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Token-budget Beer Game — conclusions</w:t>
      </w:r>
    </w:p>
    <w:p>
      <w:r>
        <w:t>1. Real API responses; LLM simulation, not human evidence.</w:t>
      </w:r>
    </w:p>
    <w:p>
      <w:r>
        <w:t>2. Run status: stopped. Estimated cost/reservations: $0.0024.</w:t>
      </w:r>
    </w:p>
    <w:p>
      <w:r>
        <w:t>3. Saved successful API stages: 16; other saved attempts: 0.</w:t>
      </w:r>
    </w:p>
    <w:p>
      <w:r>
        <w:t>Stop reason: Group replacement allowance exhausted: b000_adequate_replacement1</w:t>
      </w:r>
    </w:p>
    <w:p>
      <w:r>
        <w:t>Startup rule checks: 6/16 first attempts passed; 0 clarification rechecks recorded. API success and correct rule answers are separate checks.</w:t>
      </w:r>
    </w:p>
    <w:p>
      <w:r>
        <w:t>Incorrect or missing startup fields: objective_includes_continuation.</w:t>
      </w:r>
    </w:p>
    <w:p>
      <w:r>
        <w:t>This is a pre-game rules issue, not evidence about ordering behavior or H1/H2. The current protocol gives one bounded recheck with named questions; persistent failure stops before initial game play rather than replacing a group.</w:t>
      </w:r>
    </w:p>
    <w:p>
      <w:r>
        <w:t>4. No completed game data yet. Partial rounds and individual requests remain saved; no invented final results.</w:t>
      </w:r>
    </w:p>
    <w:p>
      <w:pPr>
        <w:pStyle w:val="Heading1"/>
      </w:pPr>
      <w:r>
        <w:t>Startup rule checks</w:t>
      </w:r>
    </w:p>
    <w:p>
      <w:r>
        <w:t xml:space="preserve">                  group_id        role  attempt  passed                     failed_fields</w:t>
        <w:br/>
        <w:t xml:space="preserve">                b000_short  wholesaler        1    True                                []</w:t>
        <w:br/>
        <w:t>b000_adequate_replacement1     factory        1   False [objective_includes_continuation]</w:t>
        <w:br/>
        <w:t xml:space="preserve">   b000_short_replacement1     factory        1    True                                []</w:t>
        <w:br/>
        <w:t xml:space="preserve">   b000_short_replacement1  wholesaler        1    True                                []</w:t>
        <w:br/>
        <w:t xml:space="preserve">   b000_short_replacement1 distributor        1   False [objective_includes_continuation]</w:t>
        <w:br/>
        <w:t xml:space="preserve">             b000_adequate    retailer        1   False [objective_includes_continuation]</w:t>
        <w:br/>
        <w:t xml:space="preserve">             b000_adequate     factory        1   False [objective_includes_continuation]</w:t>
        <w:br/>
        <w:t xml:space="preserve">             b000_adequate  wholesaler        1   False [objective_includes_continuation]</w:t>
        <w:br/>
        <w:t xml:space="preserve">                b000_short distributor        1   False [objective_includes_continuation]</w:t>
        <w:br/>
        <w:t xml:space="preserve">             b000_adequate distributor        1   False [objective_includes_continuation]</w:t>
        <w:br/>
        <w:t>b000_adequate_replacement1 distributor        1   False [objective_includes_continuation]</w:t>
        <w:br/>
        <w:t>b000_adequate_replacement1    retailer        1   False [objective_includes_continuation]</w:t>
        <w:br/>
        <w:t xml:space="preserve">                b000_short     factory        1   False [objective_includes_continuation]</w:t>
        <w:br/>
        <w:t xml:space="preserve">   b000_short_replacement1    retailer        1    True                                []</w:t>
        <w:br/>
        <w:t>b000_adequate_replacement1  wholesaler        1    True                                []</w:t>
        <w:br/>
        <w:t xml:space="preserve">                b000_short    retailer        1    True                                []</w:t>
      </w:r>
    </w:p>
    <w:p>
      <w:pPr>
        <w:pStyle w:val="Heading1"/>
      </w:pPr>
      <w:r>
        <w:t>Interpretation limits</w:t>
      </w:r>
    </w:p>
    <w:p>
      <w:r>
        <w:t>This protocol restricts visible preparation tokens plus a common final-response allowance, with reasoning effort none. It does not directly limit hidden cognitive effort, wall-clock time or human thinking time. Prompts cannot reliably count remaining tokens; the API hard cap is the enforced constraint. A truncated memo is accepted as a deadline outcome, then a common 192-token stage solicits the order. The final stage can still involve implicit computation, and unused token allowance is not effort used.</w:t>
      </w:r>
    </w:p>
    <w:p>
      <w:r>
        <w:t>Technical retries retain the same prompt and cap. Failed final responses can replace a whole group only within the configured limit; all failed attempts remain recorded. Replacement selection withholds inferential p-values. No order is clipped or replaced by a fabricated answer. The separate emergency scale check stops the run rather than making a boundary order.</w:t>
      </w:r>
    </w:p>
    <w:p>
      <w:r>
        <w:t>Sources: [provided reflection](../../source/ThoughtsReflection_Paragraph.docx); [MIT Beer Game](https://web.mit.edu/jsterman/www/SDG/beergame.html); [Lee, Padmanabhan &amp; Whang](https://pubsonline.informs.org/doi/10.1287/mnsc.43.4.546); [OpenAI model documentation](https://developers.openai.com/api/docs/models/gpt-5.4-nano).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