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Student-persona Beer Game: evidence report</w:t>
      </w:r>
    </w:p>
    <w:p>
      <w:pPr>
        <w:pStyle w:val="Heading1"/>
      </w:pPr>
      <w:r>
        <w:t>Evidence and outcome</w:t>
      </w:r>
    </w:p>
    <w:p>
      <w:r>
        <w:t>SYNTHETIC SOFTWARE CHECK: no actual model responses, human observations or treatment-effect evidence.</w:t>
      </w:r>
    </w:p>
    <w:p>
      <w:r>
        <w:t>Run status: complete. A clean behavioral comparison is not established: calibration passed=False, completed chains=6/6, clean chains=6, missing decisions=0, fallback orders=0.</w:t>
      </w:r>
    </w:p>
    <w:p>
      <w:r>
        <w:t>Calibration did not validate a token contrast. The predeclared 8192/16384 caps are engineering diagnostic settings, not validated treatment thresholds.</w:t>
      </w:r>
    </w:p>
    <w:p>
      <w:r>
        <w:t>Local saved requests: 1032; estimated local charges/reservations: $0.0000. Measured local output: 0 tokens, including 0 reasoning tokens. Prior reused calibration requests and charges are reported separately.</w:t>
      </w:r>
    </w:p>
    <w:p>
      <w:pPr>
        <w:pStyle w:val="Heading1"/>
      </w:pPr>
      <w:r>
        <w:t>Model and intervention</w:t>
      </w:r>
    </w:p>
    <w:p>
      <w:r>
        <w:t>Requested model: gpt-5.4-mini-2026-03-17. Returned models: none recorded. Fixed reasoning effort: high. Selected total-output caps: short 8192, adequate 16384. Exact prompts, state histories and responses are retained in manifest.json and requests/*.json. The allowance applies to total generated output, including reasoning tokens and the structured decision; nonreasoning tokens equal total output minus the reasoning subset. Unused allowance is not measured effort. Selected caps are recorded in selection.json / calibration_recommendation.json.</w:t>
      </w:r>
    </w:p>
    <w:p>
      <w:r>
        <w:t>The common 180.0-second transport timeout is operational reliability protection, not a deadline treatment. Recorded latency includes service and transport delay. Tokens do not have a validated conversion to human thinking seconds; the study manipulates an LLM computational allowance. A separate time-limit experiment requires separate calibration. Usage summaries include measured requests only; unobserved usage remains missing, and its reserved charge remains in the ledger.</w:t>
      </w:r>
    </w:p>
    <w:p>
      <w:pPr>
        <w:pStyle w:val="Heading1"/>
      </w:pPr>
      <w:r>
        <w:t>Game sample planning</w:t>
      </w:r>
    </w:p>
    <w:p>
      <w:r>
        <w:t>Selected chain pairs: 3; configured maximum: 3. Forecast cost per full pair: not applicable to the synthetic check. Selection uses calibration token costs before game outcomes, with a 15% forecast margin and common onboarding allowances. This budget-based sample choice is not a power calculation or a guarantee that later histories and generation will fit the forecast. The local spending guard remains binding; changing group count after observing game outcomes would create a different design.</w:t>
      </w:r>
    </w:p>
    <w:p>
      <w:pPr>
        <w:pStyle w:val="Heading1"/>
      </w:pPr>
      <w:r>
        <w:t>Decisions, failures and costs</w:t>
      </w:r>
    </w:p>
    <w:p>
      <w:r>
        <w:t>Zero is a permitted decision. No positive-order floor or advertised order maximum is imposed. Concerning zero orders (positive backlog with no stock or outstanding replenishment) are reported without being changed or excluded. Fallback orders belong to a disclosed diagnostic continuation policy, not the model. A completed chain with fallbacks does not become a complete model-behavior sample. Full costs are descriptive whenever fallbacks occur; incomplete chains have only accumulated observed costs.</w:t>
      </w:r>
    </w:p>
    <w:p>
      <w:r>
        <w:t>Costs include all 40 game weeks, including 4 fixed warmup weeks, plus 12 automatic continuation weeks. Automatic and fallback orders are excluded from valid model decision zero rates. Raw failures and their charges/reservations remain in the request ledger; no failed generation is converted into a valid zero decision.</w:t>
      </w:r>
    </w:p>
    <w:p>
      <w:pPr>
        <w:pStyle w:val="Heading1"/>
      </w:pPr>
      <w:r>
        <w:t>Bullwhip and beta</w:t>
      </w:r>
    </w:p>
    <w:p>
      <w:r>
        <w:t>Bullwhip ratios use sample variance over the full 40 game weeks including warmup, or the observed partial window when stopped. Both local incoming demand and external customer demand are reported. A zero-variance denominator produces a missing ratio. The single demand step and different timing upstream make these descriptive ratios sensitive to the window; a ratio alone does not establish sustained oscillation.</w:t>
      </w:r>
    </w:p>
    <w:p>
      <w:r>
        <w:t>Beta is an exploratory fitted supply-line weight, not a direct measurement of thinking or a diagnosed human bias. A role with invalid/fallback decisions has an unusable fit. Variation, fit quality and identification flags remain visible. Chain beta requires four usable role fits. No confirmatory p-values are calculated for this small feasibility pilot; weekly calls are not independent participants.</w:t>
      </w:r>
    </w:p>
    <w:p>
      <w:pPr>
        <w:pStyle w:val="Heading1"/>
      </w:pPr>
      <w:r>
        <w:t>Research scope</w:t>
      </w:r>
    </w:p>
    <w:p>
      <w:r>
        <w:t>The common persona is a hypothetical second-year business student at University at Buffalo. A demographic prompt does not validate a population model. Repeated calls represent model-generated decisions, not independent University at Buffalo students. Claims about actual students require answers from real students using comparable tasks; see Bisbee et al. (https://doi.org/10.1017/pan.2024.5) on the limits of synthetic survey respondents. The cited GPT behavioral-operations study (https://doi.org/10.1287/msom.2023.0279) motivates investigating model decisions across operational tasks; this Beer Game alone does not diagnose all eighteen biases. Deliberately requesting a bias or oscillation would change the behavior being studied. Prompt, model, effort, budget selection and failure policy must remain fixed within the comparison, and historical none-effort protocols must remain separate.</w:t>
      </w:r>
    </w:p>
    <w:p>
      <w:pPr>
        <w:pStyle w:val="Heading1"/>
      </w:pPr>
      <w:r>
        <w:t>Sources and reproducibility</w:t>
      </w:r>
    </w:p>
    <w:p>
      <w:r>
        <w:t>Game timing/cost background: MIT / John Sterman Beer Game (https://web.mit.edu/jsterman/www/SDG/beergame.html). API token accounting and incomplete responses: OpenAI reasoning guide (https://developers.openai.com/api/docs/guides/reasoning). Response schema mechanics: OpenAI structured outputs (https://developers.openai.com/api/docs/guides/structured-outputs). These sources support game/API mechanics; they do not validate student realism or tokens as human time.</w:t>
      </w:r>
    </w:p>
    <w:p>
      <w:r>
        <w:t>The manifest, raw requests, calibration, rule checks and trajectory CSVs are the reproducible evidence. Currency values are local estimated charges/reservations, not an account balance; unresolved request usage may remain reserved. Software checks and offline synthetic runs cannot supply missing live results.</w:t>
      </w:r>
    </w:p>
    <w:p>
      <w:pPr>
        <w:pStyle w:val="Heading1"/>
      </w:pPr>
      <w:r>
        <w:t>Condition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condition</w:t>
            </w:r>
          </w:p>
        </w:tc>
        <w:tc>
          <w:tcPr>
            <w:tcW w:type="dxa" w:w="1080"/>
          </w:tcPr>
          <w:p>
            <w:r>
              <w:t>chains_complete</w:t>
            </w:r>
          </w:p>
        </w:tc>
        <w:tc>
          <w:tcPr>
            <w:tcW w:type="dxa" w:w="1080"/>
          </w:tcPr>
          <w:p>
            <w:r>
              <w:t>clean_chains</w:t>
            </w:r>
          </w:p>
        </w:tc>
        <w:tc>
          <w:tcPr>
            <w:tcW w:type="dxa" w:w="1080"/>
          </w:tcPr>
          <w:p>
            <w:r>
              <w:t>missing_decisions</w:t>
            </w:r>
          </w:p>
        </w:tc>
        <w:tc>
          <w:tcPr>
            <w:tcW w:type="dxa" w:w="1080"/>
          </w:tcPr>
          <w:p>
            <w:r>
              <w:t>fallback_count</w:t>
            </w:r>
          </w:p>
        </w:tc>
        <w:tc>
          <w:tcPr>
            <w:tcW w:type="dxa" w:w="1080"/>
          </w:tcPr>
          <w:p>
            <w:r>
              <w:t>zero_rate_valid</w:t>
            </w:r>
          </w:p>
        </w:tc>
        <w:tc>
          <w:tcPr>
            <w:tcW w:type="dxa" w:w="1080"/>
          </w:tcPr>
          <w:p>
            <w:r>
              <w:t>max_submitted_order</w:t>
            </w:r>
          </w:p>
        </w:tc>
        <w:tc>
          <w:tcPr>
            <w:tcW w:type="dxa" w:w="1080"/>
          </w:tcPr>
          <w:p>
            <w:r>
              <w:t>mean_total_scored_cost</w:t>
            </w:r>
          </w:p>
        </w:tc>
      </w:tr>
      <w:tr>
        <w:tc>
          <w:tcPr>
            <w:tcW w:type="dxa" w:w="1080"/>
          </w:tcPr>
          <w:p>
            <w:r>
              <w:t>adequate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156</w:t>
            </w:r>
          </w:p>
        </w:tc>
      </w:tr>
      <w:tr>
        <w:tc>
          <w:tcPr>
            <w:tcW w:type="dxa" w:w="1080"/>
          </w:tcPr>
          <w:p>
            <w:r>
              <w:t>short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156</w:t>
            </w:r>
          </w:p>
        </w:tc>
      </w:tr>
    </w:tbl>
    <w:p>
      <w:pPr>
        <w:pStyle w:val="Heading1"/>
      </w:pPr>
      <w:r>
        <w:t>Group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group_id</w:t>
            </w:r>
          </w:p>
        </w:tc>
        <w:tc>
          <w:tcPr>
            <w:tcW w:type="dxa" w:w="1728"/>
          </w:tcPr>
          <w:p>
            <w:r>
              <w:t>full_game</w:t>
            </w:r>
          </w:p>
        </w:tc>
        <w:tc>
          <w:tcPr>
            <w:tcW w:type="dxa" w:w="1728"/>
          </w:tcPr>
          <w:p>
            <w:r>
              <w:t>fallback_count</w:t>
            </w:r>
          </w:p>
        </w:tc>
        <w:tc>
          <w:tcPr>
            <w:tcW w:type="dxa" w:w="1728"/>
          </w:tcPr>
          <w:p>
            <w:r>
              <w:t>total_scored_cost</w:t>
            </w:r>
          </w:p>
        </w:tc>
        <w:tc>
          <w:tcPr>
            <w:tcW w:type="dxa" w:w="1728"/>
          </w:tcPr>
          <w:p>
            <w:r>
              <w:t>usable_role_betas</w:t>
            </w:r>
          </w:p>
        </w:tc>
      </w:tr>
      <w:tr>
        <w:tc>
          <w:tcPr>
            <w:tcW w:type="dxa" w:w="1728"/>
          </w:tcPr>
          <w:p>
            <w:r>
              <w:t>b000_adequate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b000_short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b001_adequate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b001_short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b002_adequate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b002_short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1"/>
      </w:pPr>
      <w:r>
        <w:t>Calibration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limit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genuine_api_n</w:t>
            </w:r>
          </w:p>
        </w:tc>
        <w:tc>
          <w:tcPr>
            <w:tcW w:type="dxa" w:w="1080"/>
          </w:tcPr>
          <w:p>
            <w:r>
              <w:t>completed_valid_n</w:t>
            </w:r>
          </w:p>
        </w:tc>
        <w:tc>
          <w:tcPr>
            <w:tcW w:type="dxa" w:w="1080"/>
          </w:tcPr>
          <w:p>
            <w:r>
              <w:t>completion_denominator</w:t>
            </w:r>
          </w:p>
        </w:tc>
        <w:tc>
          <w:tcPr>
            <w:tcW w:type="dxa" w:w="1080"/>
          </w:tcPr>
          <w:p>
            <w:r>
              <w:t>completion_rate</w:t>
            </w:r>
          </w:p>
        </w:tc>
        <w:tc>
          <w:tcPr>
            <w:tcW w:type="dxa" w:w="1080"/>
          </w:tcPr>
          <w:p>
            <w:r>
              <w:t>positive_reasoning_n</w:t>
            </w:r>
          </w:p>
        </w:tc>
        <w:tc>
          <w:tcPr>
            <w:tcW w:type="dxa" w:w="1080"/>
          </w:tcPr>
          <w:p>
            <w:r>
              <w:t>measured_usage_n</w:t>
            </w:r>
          </w:p>
        </w:tc>
      </w:tr>
      <w:tr>
        <w:tc>
          <w:tcPr>
            <w:tcW w:type="dxa" w:w="1080"/>
          </w:tcPr>
          <w:p>
            <w:r>
              <w:t>512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1024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2048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4096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8192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16384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</w:tbl>
    <w:p>
      <w:pPr>
        <w:pStyle w:val="Heading1"/>
      </w:pPr>
      <w:r>
        <w:t>Beta diagnostics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group_id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beta</w:t>
            </w:r>
          </w:p>
        </w:tc>
        <w:tc>
          <w:tcPr>
            <w:tcW w:type="dxa" w:w="1728"/>
          </w:tcPr>
          <w:p>
            <w:r>
              <w:t>usable</w:t>
            </w:r>
          </w:p>
        </w:tc>
        <w:tc>
          <w:tcPr>
            <w:tcW w:type="dxa" w:w="1728"/>
          </w:tcPr>
          <w:p>
            <w:r>
              <w:t>fit_flag</w:t>
            </w:r>
          </w:p>
        </w:tc>
      </w:tr>
      <w:tr>
        <w:tc>
          <w:tcPr>
            <w:tcW w:type="dxa" w:w="1728"/>
          </w:tcPr>
          <w:p>
            <w:r>
              <w:t>b000_adequate</w:t>
            </w:r>
          </w:p>
        </w:tc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b000_adequate</w:t>
            </w:r>
          </w:p>
        </w:tc>
        <w:tc>
          <w:tcPr>
            <w:tcW w:type="dxa" w:w="1728"/>
          </w:tcPr>
          <w:p>
            <w:r>
              <w:t>factory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b000_adequate</w:t>
            </w:r>
          </w:p>
        </w:tc>
        <w:tc>
          <w:tcPr>
            <w:tcW w:type="dxa" w:w="1728"/>
          </w:tcPr>
          <w:p>
            <w:r>
              <w:t>retailer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insufficient_variation</w:t>
            </w:r>
          </w:p>
        </w:tc>
      </w:tr>
      <w:tr>
        <w:tc>
          <w:tcPr>
            <w:tcW w:type="dxa" w:w="1728"/>
          </w:tcPr>
          <w:p>
            <w:r>
              <w:t>b000_adequate</w:t>
            </w:r>
          </w:p>
        </w:tc>
        <w:tc>
          <w:tcPr>
            <w:tcW w:type="dxa" w:w="1728"/>
          </w:tcPr>
          <w:p>
            <w:r>
              <w:t>wholesaler</w:t>
            </w:r>
          </w:p>
        </w:tc>
        <w:tc>
          <w:tcPr>
            <w:tcW w:type="dxa" w:w="1728"/>
          </w:tcPr>
          <w:p>
            <w:r>
              <w:t>1.404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b000_short</w:t>
            </w:r>
          </w:p>
        </w:tc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b000_short</w:t>
            </w:r>
          </w:p>
        </w:tc>
        <w:tc>
          <w:tcPr>
            <w:tcW w:type="dxa" w:w="1728"/>
          </w:tcPr>
          <w:p>
            <w:r>
              <w:t>factory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b000_short</w:t>
            </w:r>
          </w:p>
        </w:tc>
        <w:tc>
          <w:tcPr>
            <w:tcW w:type="dxa" w:w="1728"/>
          </w:tcPr>
          <w:p>
            <w:r>
              <w:t>retailer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insufficient_variation</w:t>
            </w:r>
          </w:p>
        </w:tc>
      </w:tr>
      <w:tr>
        <w:tc>
          <w:tcPr>
            <w:tcW w:type="dxa" w:w="1728"/>
          </w:tcPr>
          <w:p>
            <w:r>
              <w:t>b000_short</w:t>
            </w:r>
          </w:p>
        </w:tc>
        <w:tc>
          <w:tcPr>
            <w:tcW w:type="dxa" w:w="1728"/>
          </w:tcPr>
          <w:p>
            <w:r>
              <w:t>wholesaler</w:t>
            </w:r>
          </w:p>
        </w:tc>
        <w:tc>
          <w:tcPr>
            <w:tcW w:type="dxa" w:w="1728"/>
          </w:tcPr>
          <w:p>
            <w:r>
              <w:t>1.404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b001_adequate</w:t>
            </w:r>
          </w:p>
        </w:tc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b001_adequate</w:t>
            </w:r>
          </w:p>
        </w:tc>
        <w:tc>
          <w:tcPr>
            <w:tcW w:type="dxa" w:w="1728"/>
          </w:tcPr>
          <w:p>
            <w:r>
              <w:t>factory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b001_adequate</w:t>
            </w:r>
          </w:p>
        </w:tc>
        <w:tc>
          <w:tcPr>
            <w:tcW w:type="dxa" w:w="1728"/>
          </w:tcPr>
          <w:p>
            <w:r>
              <w:t>retailer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insufficient_variation</w:t>
            </w:r>
          </w:p>
        </w:tc>
      </w:tr>
      <w:tr>
        <w:tc>
          <w:tcPr>
            <w:tcW w:type="dxa" w:w="1728"/>
          </w:tcPr>
          <w:p>
            <w:r>
              <w:t>b001_adequate</w:t>
            </w:r>
          </w:p>
        </w:tc>
        <w:tc>
          <w:tcPr>
            <w:tcW w:type="dxa" w:w="1728"/>
          </w:tcPr>
          <w:p>
            <w:r>
              <w:t>wholesaler</w:t>
            </w:r>
          </w:p>
        </w:tc>
        <w:tc>
          <w:tcPr>
            <w:tcW w:type="dxa" w:w="1728"/>
          </w:tcPr>
          <w:p>
            <w:r>
              <w:t>1.404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b001_short</w:t>
            </w:r>
          </w:p>
        </w:tc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b001_short</w:t>
            </w:r>
          </w:p>
        </w:tc>
        <w:tc>
          <w:tcPr>
            <w:tcW w:type="dxa" w:w="1728"/>
          </w:tcPr>
          <w:p>
            <w:r>
              <w:t>factory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b001_short</w:t>
            </w:r>
          </w:p>
        </w:tc>
        <w:tc>
          <w:tcPr>
            <w:tcW w:type="dxa" w:w="1728"/>
          </w:tcPr>
          <w:p>
            <w:r>
              <w:t>retailer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insufficient_variation</w:t>
            </w:r>
          </w:p>
        </w:tc>
      </w:tr>
      <w:tr>
        <w:tc>
          <w:tcPr>
            <w:tcW w:type="dxa" w:w="1728"/>
          </w:tcPr>
          <w:p>
            <w:r>
              <w:t>b001_short</w:t>
            </w:r>
          </w:p>
        </w:tc>
        <w:tc>
          <w:tcPr>
            <w:tcW w:type="dxa" w:w="1728"/>
          </w:tcPr>
          <w:p>
            <w:r>
              <w:t>wholesaler</w:t>
            </w:r>
          </w:p>
        </w:tc>
        <w:tc>
          <w:tcPr>
            <w:tcW w:type="dxa" w:w="1728"/>
          </w:tcPr>
          <w:p>
            <w:r>
              <w:t>1.404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b002_adequate</w:t>
            </w:r>
          </w:p>
        </w:tc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b002_adequate</w:t>
            </w:r>
          </w:p>
        </w:tc>
        <w:tc>
          <w:tcPr>
            <w:tcW w:type="dxa" w:w="1728"/>
          </w:tcPr>
          <w:p>
            <w:r>
              <w:t>factory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b002_adequate</w:t>
            </w:r>
          </w:p>
        </w:tc>
        <w:tc>
          <w:tcPr>
            <w:tcW w:type="dxa" w:w="1728"/>
          </w:tcPr>
          <w:p>
            <w:r>
              <w:t>retailer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insufficient_variation</w:t>
            </w:r>
          </w:p>
        </w:tc>
      </w:tr>
      <w:tr>
        <w:tc>
          <w:tcPr>
            <w:tcW w:type="dxa" w:w="1728"/>
          </w:tcPr>
          <w:p>
            <w:r>
              <w:t>b002_adequate</w:t>
            </w:r>
          </w:p>
        </w:tc>
        <w:tc>
          <w:tcPr>
            <w:tcW w:type="dxa" w:w="1728"/>
          </w:tcPr>
          <w:p>
            <w:r>
              <w:t>wholesaler</w:t>
            </w:r>
          </w:p>
        </w:tc>
        <w:tc>
          <w:tcPr>
            <w:tcW w:type="dxa" w:w="1728"/>
          </w:tcPr>
          <w:p>
            <w:r>
              <w:t>1.404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b002_short</w:t>
            </w:r>
          </w:p>
        </w:tc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b002_short</w:t>
            </w:r>
          </w:p>
        </w:tc>
        <w:tc>
          <w:tcPr>
            <w:tcW w:type="dxa" w:w="1728"/>
          </w:tcPr>
          <w:p>
            <w:r>
              <w:t>factory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b002_short</w:t>
            </w:r>
          </w:p>
        </w:tc>
        <w:tc>
          <w:tcPr>
            <w:tcW w:type="dxa" w:w="1728"/>
          </w:tcPr>
          <w:p>
            <w:r>
              <w:t>retailer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insufficient_variation</w:t>
            </w:r>
          </w:p>
        </w:tc>
      </w:tr>
      <w:tr>
        <w:tc>
          <w:tcPr>
            <w:tcW w:type="dxa" w:w="1728"/>
          </w:tcPr>
          <w:p>
            <w:r>
              <w:t>b002_short</w:t>
            </w:r>
          </w:p>
        </w:tc>
        <w:tc>
          <w:tcPr>
            <w:tcW w:type="dxa" w:w="1728"/>
          </w:tcPr>
          <w:p>
            <w:r>
              <w:t>wholesaler</w:t>
            </w:r>
          </w:p>
        </w:tc>
        <w:tc>
          <w:tcPr>
            <w:tcW w:type="dxa" w:w="1728"/>
          </w:tcPr>
          <w:p>
            <w:r>
              <w:t>1.404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360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_by_ro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c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2304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us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