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Literature-grounded redesign of the LLM Beer Game</w:t>
      </w:r>
    </w:p>
    <w:p>
      <w:r>
        <w:t>Reviewed 11 October 2026. This is a design review, not new empirical results. The implemented specification is ANYTIME_PROTOCOL_20261011.md (../../docs/ANYTIME_PROTOCOL_20261011.md). The four fictional student profiles are in config/student_profiles (../../config/student_profiles/).</w:t>
      </w:r>
    </w:p>
    <w:p>
      <w:pPr>
        <w:pStyle w:val="Heading1"/>
      </w:pPr>
      <w:r>
        <w:t>What the literature changes in this implementation</w:t>
      </w:r>
    </w:p>
    <w:p>
      <w:r>
        <w:t>The revised study uses a common classroom brief, four declared personality profiles, paired treatment assignment, role balancing, a known stationary demand distribution, retained delivery delays, separate pipeline components, and direct bullwhip/cost outcomes. It measures actual computation and distinguishes a missing answer from a valid current-state submission. It does not instruct any profile to neglect the pipeline, overorder, or create bullwhip. A null or opposite-direction effect remains a result.</w:t>
      </w:r>
    </w:p>
    <w:p>
      <w:pPr>
        <w:pStyle w:val="Heading1"/>
      </w:pPr>
      <w:r>
        <w:t>Primary studies reviewed</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Study and access</w:t>
            </w:r>
          </w:p>
        </w:tc>
        <w:tc>
          <w:tcPr>
            <w:tcW w:type="dxa" w:w="3456"/>
          </w:tcPr>
          <w:p>
            <w:r>
              <w:t>What was examined</w:t>
            </w:r>
          </w:p>
        </w:tc>
        <w:tc>
          <w:tcPr>
            <w:tcW w:type="dxa" w:w="3456"/>
          </w:tcPr>
          <w:p>
            <w:r>
              <w:t>Consequence for this project</w:t>
            </w:r>
          </w:p>
        </w:tc>
      </w:tr>
      <w:tr>
        <w:tc>
          <w:tcPr>
            <w:tcW w:type="dxa" w:w="3456"/>
          </w:tcPr>
          <w:p>
            <w:r>
              <w:t>Sterman (1989), *Management Science*, Modeling Managerial Behavior (https://doi.org/10.1287/mnsc.35.3.321); publisher abstract and MIT author description (https://web.mit.edu/jsterman/www/SDG/beergame.html)</w:t>
            </w:r>
          </w:p>
        </w:tc>
        <w:tc>
          <w:tcPr>
            <w:tcW w:type="dxa" w:w="3456"/>
          </w:tcPr>
          <w:p>
            <w:r>
              <w:t>Dynamic feedback, delivery delays and supply-line underweighting in the Beer Game.</w:t>
            </w:r>
          </w:p>
        </w:tc>
        <w:tc>
          <w:tcPr>
            <w:tcW w:type="dxa" w:w="3456"/>
          </w:tcPr>
          <w:p>
            <w:r>
              <w:t>Preserve delays and outstanding orders; report structural identification instead of assuming a fitted coefficient measures attention.</w:t>
            </w:r>
          </w:p>
        </w:tc>
      </w:tr>
      <w:tr>
        <w:tc>
          <w:tcPr>
            <w:tcW w:type="dxa" w:w="3456"/>
          </w:tcPr>
          <w:p>
            <w:r>
              <w:t>Croson &amp; Donohue (2006), *Management Science*, Behavioral Causes of the Bullwhip Effect (https://doi.org/10.1287/mnsc.1050.0436); author-hosted full paper (https://faculty.wharton.upenn.edu/wp-content/uploads/2012/04/%5B34%5D.pdf), including experimental-method section</w:t>
            </w:r>
          </w:p>
        </w:tc>
        <w:tc>
          <w:tcPr>
            <w:tcW w:type="dxa" w:w="3456"/>
          </w:tcPr>
          <w:p>
            <w:r>
              <w:t>Stochastic demand, shared inventory information, and ordering behavior. Their participants were told the uniform demand distribution.</w:t>
            </w:r>
          </w:p>
        </w:tc>
        <w:tc>
          <w:tcPr>
            <w:tcW w:type="dxa" w:w="3456"/>
          </w:tcPr>
          <w:p>
            <w:r>
              <w:t>Use known stationary demand with hidden draws, shared inventory held fixed across token conditions, and both pipeline response and order variance. Our integer demand and retained simulator are an adaptation, not an exact replication.</w:t>
            </w:r>
          </w:p>
        </w:tc>
      </w:tr>
      <w:tr>
        <w:tc>
          <w:tcPr>
            <w:tcW w:type="dxa" w:w="3456"/>
          </w:tcPr>
          <w:p>
            <w:r>
              <w:t>Wu &amp; Katok (2006), *Journal of Operations Management*, Learning, Communication, and the Bullwhip Effect (https://doi.org/10.1016/j.jom.2005.08.006); publisher abstract</w:t>
            </w:r>
          </w:p>
        </w:tc>
        <w:tc>
          <w:tcPr>
            <w:tcW w:type="dxa" w:w="3456"/>
          </w:tcPr>
          <w:p>
            <w:r>
              <w:t>Experiments vary experience, learning and communication. Their effects cannot be treated as interchangeable.</w:t>
            </w:r>
          </w:p>
        </w:tc>
        <w:tc>
          <w:tcPr>
            <w:tcW w:type="dxa" w:w="3456"/>
          </w:tcPr>
          <w:p>
            <w:r>
              <w:t>Keep practice, instructions, information and communication rules constant. A central persona library distributes profiles only; it does not coordinate the agents' orders or teach a team strategy.</w:t>
            </w:r>
          </w:p>
        </w:tc>
      </w:tr>
      <w:tr>
        <w:tc>
          <w:tcPr>
            <w:tcW w:type="dxa" w:w="3456"/>
          </w:tcPr>
          <w:p>
            <w:r>
              <w:t>Croson, Donohue, Katok &amp; Sterman (2014), *Production and Operations Management*, Order Stability in Supply Chains (https://doi.org/10.1111/j.1937-5956.2012.01422.x); publisher abstract</w:t>
            </w:r>
          </w:p>
        </w:tc>
        <w:tc>
          <w:tcPr>
            <w:tcW w:type="dxa" w:w="3456"/>
          </w:tcPr>
          <w:p>
            <w:r>
              <w:t>Coordination risk is examined through controlled serial-chain experiments.</w:t>
            </w:r>
          </w:p>
        </w:tc>
        <w:tc>
          <w:tcPr>
            <w:tcW w:type="dxa" w:w="3456"/>
          </w:tcPr>
          <w:p>
            <w:r>
              <w:t>Keep the four roles decentralized. Do not let a central LLM choose all orders; that would change coordination risk and the experiment.</w:t>
            </w:r>
          </w:p>
        </w:tc>
      </w:tr>
      <w:tr>
        <w:tc>
          <w:tcPr>
            <w:tcW w:type="dxa" w:w="3456"/>
          </w:tcPr>
          <w:p>
            <w:r>
              <w:t>Narayanan &amp; Moritz (2015), *Production and Operations Management*, Decision Making and Cognition in Multi-Echelon Supply Chains (https://doi.org/10.1111/poms.12343); author university abstract (https://pure.psu.edu/en/publications/decision-making-and-cognition-in-multi-echelon-supply-chains-an-e/)</w:t>
            </w:r>
          </w:p>
        </w:tc>
        <w:tc>
          <w:tcPr>
            <w:tcW w:type="dxa" w:w="3456"/>
          </w:tcPr>
          <w:p>
            <w:r>
              <w:t>Cognitive reflection relates to pipeline underweighting and chain/echelon performance.</w:t>
            </w:r>
          </w:p>
        </w:tc>
        <w:tc>
          <w:tcPr>
            <w:tcW w:type="dxa" w:w="3456"/>
          </w:tcPr>
          <w:p>
            <w:r>
              <w:t>Treat individual differences and role as meaningful design variables. Do not claim a persona adjective equals a measured cognitive-reflection score.</w:t>
            </w:r>
          </w:p>
        </w:tc>
      </w:tr>
      <w:tr>
        <w:tc>
          <w:tcPr>
            <w:tcW w:type="dxa" w:w="3456"/>
          </w:tcPr>
          <w:p>
            <w:r>
              <w:t>Meyer &amp; Purvanova (2013), System Dynamics Society conference, Individual Performance in the Beer Game (https://proceedings.systemdynamics.org/2013/proceed/papers/P1409.pdf); full paper, especially methods and results</w:t>
            </w:r>
          </w:p>
        </w:tc>
        <w:tc>
          <w:tcPr>
            <w:tcW w:type="dxa" w:w="3456"/>
          </w:tcPr>
          <w:p>
            <w:r>
              <w:t>Undergraduate game choices are related to measured Big Five traits; some associations differ by role. Several predicted relationships were unsupported, including an overall conscientiousness effect.</w:t>
            </w:r>
          </w:p>
        </w:tc>
        <w:tc>
          <w:tcPr>
            <w:tcW w:type="dxa" w:w="3456"/>
          </w:tcPr>
          <w:p>
            <w:r>
              <w:t>Use multiple fictional profiles and balance them across roles. This is conference evidence motivating heterogeneity, not validation of our four profiles or a guarantee that a particular trait increases bullwhip.</w:t>
            </w:r>
          </w:p>
        </w:tc>
      </w:tr>
      <w:tr>
        <w:tc>
          <w:tcPr>
            <w:tcW w:type="dxa" w:w="3456"/>
          </w:tcPr>
          <w:p>
            <w:r>
              <w:t>Dejonckheere, Disney, Lambrecht &amp; Towill (2003), *European Journal of Operational Research*, Measuring and Avoiding the Bullwhip Effect (https://doi.org/10.1016/S0377-2217(02)00369-7); author institution abstract (https://orca.cardiff.ac.uk/id/eprint/2871/)</w:t>
            </w:r>
          </w:p>
        </w:tc>
        <w:tc>
          <w:tcPr>
            <w:tcW w:type="dxa" w:w="3456"/>
          </w:tcPr>
          <w:p>
            <w:r>
              <w:t>Replenishment/forecasting rules can themselves amplify order variance.</w:t>
            </w:r>
          </w:p>
        </w:tc>
        <w:tc>
          <w:tcPr>
            <w:tcW w:type="dxa" w:w="3456"/>
          </w:tcPr>
          <w:p>
            <w:r>
              <w:t>Include deterministic policy checks and distinguish physical/policy amplification from a measured behavioral mechanism. A bullwhip ratio alone does not diagnose irrationality.</w:t>
            </w:r>
          </w:p>
        </w:tc>
      </w:tr>
      <w:tr>
        <w:tc>
          <w:tcPr>
            <w:tcW w:type="dxa" w:w="3456"/>
          </w:tcPr>
          <w:p>
            <w:r>
              <w:t>Chen et al. (2025), *Manufacturing &amp; Service Operations Management*, A Manager and an AI Walk into a Bar (https://doi.org/10.1287/msom.2023.0279); full publisher text, Section 3</w:t>
            </w:r>
          </w:p>
        </w:tc>
        <w:tc>
          <w:tcPr>
            <w:tcW w:type="dxa" w:w="3456"/>
          </w:tcPr>
          <w:p>
            <w:r>
              <w:t>Eighteen biases are measured using experimental vignettes across contexts and models. Their GPT-3.5/GPT-4 study used 30 calls per condition and temperature 1.</w:t>
            </w:r>
          </w:p>
        </w:tc>
        <w:tc>
          <w:tcPr>
            <w:tcW w:type="dxa" w:w="3456"/>
          </w:tcPr>
          <w:p>
            <w:r>
              <w:t>Measure behavior without telling the model which bias to exhibit. Their call count is not a sample-size justification for interacting Beer Game chains, and their sampling setting does not prescribe temperature for a fixed-high reasoning model.</w:t>
            </w:r>
          </w:p>
        </w:tc>
      </w:tr>
      <w:tr>
        <w:tc>
          <w:tcPr>
            <w:tcW w:type="dxa" w:w="3456"/>
          </w:tcPr>
          <w:p>
            <w:r>
              <w:t>Zhao et al. (2025), AIM-Bench (https://arxiv.org/html/2508.11416v1); full preprint</w:t>
            </w:r>
          </w:p>
        </w:tc>
        <w:tc>
          <w:tcPr>
            <w:tcW w:type="dxa" w:w="3456"/>
          </w:tcPr>
          <w:p>
            <w:r>
              <w:t>LLM inventory decisions differ across models and contexts; the authors report that information sharing can also produce imitative ordering.</w:t>
            </w:r>
          </w:p>
        </w:tc>
        <w:tc>
          <w:tcPr>
            <w:tcW w:type="dxa" w:w="3456"/>
          </w:tcPr>
          <w:p>
            <w:r>
              <w:t>Do not equate low variability with successful student simulation. This is a preprint and a different task/model setup, not evidence that our student profiles are validated.</w:t>
            </w:r>
          </w:p>
        </w:tc>
      </w:tr>
    </w:tbl>
    <w:p>
      <w:pPr>
        <w:pStyle w:val="Heading1"/>
      </w:pPr>
      <w:r>
        <w:t>Four student profiles, rather than one universal student</w:t>
      </w:r>
    </w:p>
    <w:p>
      <w:r>
        <w:t>The implemented library crosses working style (methodical/organized or flexible/informal) with emotional framing (steady or uncertainty-sensitive). These dimensions provide a small, inspectable set of fictional personalities. They are not copied survey respondents, psychometric measurements, diagnoses, or calibrated UB population frequencies. The profile descriptions deliberately omit ordering rules and the expected hypothesis direction. Each participant retains the same profile for the whole game.</w:t>
      </w:r>
    </w:p>
    <w:p>
      <w:r>
        <w:t>Each chain contains one of each profile. The paired comparison uses the same profile-role mapping under both computation conditions. A randomized rotation balances profiles across roles over four pairs. This prevents a permanent identification of one personality with the factory or retailer. With only one pair, profile-specific results are descriptive and remain entangled with role. Broad personality interactions need a larger separately planned design.</w:t>
      </w:r>
    </w:p>
    <w:p>
      <w:r>
        <w:t>The literature does not establish that requesting personality traits faithfully creates those traits in an LLM. Bisbee et al. (2024) (https://doi.org/10.1017/pan.2024.5) found that persona-conditioned survey responses can differ from human variability and associations. We therefore call this a study of configured LLM participants. No human observations exist in the project, as confirmed by the user.</w:t>
      </w:r>
    </w:p>
    <w:p>
      <w:pPr>
        <w:pStyle w:val="Heading1"/>
      </w:pPr>
      <w:r>
        <w:t>Why change the computation treatment</w:t>
      </w:r>
    </w:p>
    <w:p>
      <w:r>
        <w:t>The old single-call caps either truncated before an answer or were too generous to separate actual computation. The revision protocol first obtains a valid submission, then grants one condition additional computation. An exhausted revision retains that same-state submission, rather than fabricating an action. Both calls use the same pinned model and high effort. Total actual generation, including the initial phase, must separate on development and held-out states and is checked again in games.</w:t>
      </w:r>
    </w:p>
    <w:p>
      <w:r>
        <w:t>This tests access to extra deliberation. It does not isolate a pure token-count effect from the opportunity to reconsider with a refreshed context. It also does not independently manipulate information quantity. Those are explicit boundaries of the claim, not problems solved by renaming the condition. OpenAI's reasoning guide (https://developers.openai.com/api/docs/guides/reasoning) confirms that reaching a generation cap can prevent any visible answer.</w:t>
      </w:r>
    </w:p>
    <w:p>
      <w:pPr>
        <w:pStyle w:val="Heading1"/>
      </w:pPr>
      <w:r>
        <w:t>Cost options and temperature</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Option</w:t>
            </w:r>
          </w:p>
        </w:tc>
        <w:tc>
          <w:tcPr>
            <w:tcW w:type="dxa" w:w="3456"/>
          </w:tcPr>
          <w:p>
            <w:r>
              <w:t>Implementation/status</w:t>
            </w:r>
          </w:p>
        </w:tc>
        <w:tc>
          <w:tcPr>
            <w:tcW w:type="dxa" w:w="3456"/>
          </w:tcPr>
          <w:p>
            <w:r>
              <w:t>Tradeoff</w:t>
            </w:r>
          </w:p>
        </w:tc>
      </w:tr>
      <w:tr>
        <w:tc>
          <w:tcPr>
            <w:tcW w:type="dxa" w:w="3456"/>
          </w:tcPr>
          <w:p>
            <w:r>
              <w:t>Share identical initial draws within a paired decision</w:t>
            </w:r>
          </w:p>
        </w:tc>
        <w:tc>
          <w:tcPr>
            <w:tcW w:type="dxa" w:w="3456"/>
          </w:tcPr>
          <w:p>
            <w:r>
              <w:t>Implemented; full prompt equality required</w:t>
            </w:r>
          </w:p>
        </w:tc>
        <w:tc>
          <w:tcPr>
            <w:tcW w:type="dxa" w:w="3456"/>
          </w:tcPr>
          <w:p>
            <w:r>
              <w:t>Up to one of three calls saved relative to independent initial submissions; analyze pairs, not independent chains within a pair.</w:t>
            </w:r>
          </w:p>
        </w:tc>
      </w:tr>
      <w:tr>
        <w:tc>
          <w:tcPr>
            <w:tcW w:type="dxa" w:w="3456"/>
          </w:tcPr>
          <w:p>
            <w:r>
              <w:t>Reuse exact checkpoints and compatible calibration</w:t>
            </w:r>
          </w:p>
        </w:tc>
        <w:tc>
          <w:tcPr>
            <w:tcW w:type="dxa" w:w="3456"/>
          </w:tcPr>
          <w:p>
            <w:r>
              <w:t>Implemented</w:t>
            </w:r>
          </w:p>
        </w:tc>
        <w:tc>
          <w:tcPr>
            <w:tcW w:type="dxa" w:w="3456"/>
          </w:tcPr>
          <w:p>
            <w:r>
              <w:t>Saves repeated purchases, but creates no new independent observations.</w:t>
            </w:r>
          </w:p>
        </w:tc>
      </w:tr>
      <w:tr>
        <w:tc>
          <w:tcPr>
            <w:tcW w:type="dxa" w:w="3456"/>
          </w:tcPr>
          <w:p>
            <w:r>
              <w:t>Stable prompt prefix / provider input caching</w:t>
            </w:r>
          </w:p>
        </w:tc>
        <w:tc>
          <w:tcPr>
            <w:tcW w:type="dxa" w:w="3456"/>
          </w:tcPr>
          <w:p>
            <w:r>
              <w:t>Used automatically; cached usage recorded</w:t>
            </w:r>
          </w:p>
        </w:tc>
        <w:tc>
          <w:tcPr>
            <w:tcW w:type="dxa" w:w="3456"/>
          </w:tcPr>
          <w:p>
            <w:r>
              <w:t>Saves eligible input cost, not reasoning output cost. No cache hit is assumed by the hard budget guard.</w:t>
            </w:r>
          </w:p>
        </w:tc>
      </w:tr>
      <w:tr>
        <w:tc>
          <w:tcPr>
            <w:tcW w:type="dxa" w:w="3456"/>
          </w:tcPr>
          <w:p>
            <w:r>
              <w:t>Offline simulator, known-policy checks and report generation</w:t>
            </w:r>
          </w:p>
        </w:tc>
        <w:tc>
          <w:tcPr>
            <w:tcW w:type="dxa" w:w="3456"/>
          </w:tcPr>
          <w:p>
            <w:r>
              <w:t>Implemented</w:t>
            </w:r>
          </w:p>
        </w:tc>
        <w:tc>
          <w:tcPr>
            <w:tcW w:type="dxa" w:w="3456"/>
          </w:tcPr>
          <w:p>
            <w:r>
              <w:t>Free software validation; never labeled human or API evidence.</w:t>
            </w:r>
          </w:p>
        </w:tc>
      </w:tr>
      <w:tr>
        <w:tc>
          <w:tcPr>
            <w:tcW w:type="dxa" w:w="3456"/>
          </w:tcPr>
          <w:p>
            <w:r>
              <w:t>Smaller prespecified feasibility game, then larger study</w:t>
            </w:r>
          </w:p>
        </w:tc>
        <w:tc>
          <w:tcPr>
            <w:tcW w:type="dxa" w:w="3456"/>
          </w:tcPr>
          <w:p>
            <w:r>
              <w:t>Notebook supports 24/32/40+ week plans</w:t>
            </w:r>
          </w:p>
        </w:tc>
        <w:tc>
          <w:tcPr>
            <w:tcW w:type="dxa" w:w="3456"/>
          </w:tcPr>
          <w:p>
            <w:r>
              <w:t>A shorter pilot is cheaper but gives noisier dynamic measurements; never shorten after seeing outcomes.</w:t>
            </w:r>
          </w:p>
        </w:tc>
      </w:tr>
      <w:tr>
        <w:tc>
          <w:tcPr>
            <w:tcW w:type="dxa" w:w="3456"/>
          </w:tcPr>
          <w:p>
            <w:r>
              <w:t>Batch API</w:t>
            </w:r>
          </w:p>
        </w:tc>
        <w:tc>
          <w:tcPr>
            <w:tcW w:type="dxa" w:w="3456"/>
          </w:tcPr>
          <w:p>
            <w:r>
              <w:t>A documented future option, not implemented in this runner</w:t>
            </w:r>
          </w:p>
        </w:tc>
        <w:tc>
          <w:tcPr>
            <w:tcW w:type="dxa" w:w="3456"/>
          </w:tcPr>
          <w:p>
            <w:r>
              <w:t>OpenAI documents 50% lower cost and up to a 24-hour turnaround. Games depend on preceding weekly choices, so many sequential batches can be slow. Independent state/probe batteries suit batching better. Batch documentation (https://developers.openai.com/api/docs/guides/batch).</w:t>
            </w:r>
          </w:p>
        </w:tc>
      </w:tr>
      <w:tr>
        <w:tc>
          <w:tcPr>
            <w:tcW w:type="dxa" w:w="3456"/>
          </w:tcPr>
          <w:p>
            <w:r>
              <w:t>Switch to a cheaper model</w:t>
            </w:r>
          </w:p>
        </w:tc>
        <w:tc>
          <w:tcPr>
            <w:tcW w:type="dxa" w:w="3456"/>
          </w:tcPr>
          <w:p>
            <w:r>
              <w:t>Requires a separate protocol and calibration; not done silently</w:t>
            </w:r>
          </w:p>
        </w:tc>
        <w:tc>
          <w:tcPr>
            <w:tcW w:type="dxa" w:w="3456"/>
          </w:tcPr>
          <w:p>
            <w:r>
              <w:t>Model behavior changes. Cheap calls with an invalid treatment or poor rule comprehension are not economical evidence.</w:t>
            </w:r>
          </w:p>
        </w:tc>
      </w:tr>
    </w:tbl>
    <w:p>
      <w:r>
        <w:t>Temperature remains omitted and identical in all conditions. Heterogeneity comes from declared profiles and repeated independent model draws, not a temperature change correlated with treatment. Deliberately raising temperature to manufacture interesting orders would not validate a student population. A future temperature robustness study must keep its setting constant across token conditions and record model/API support.</w:t>
      </w:r>
    </w:p>
    <w:p>
      <w:pPr>
        <w:pStyle w:val="Heading1"/>
      </w:pPr>
      <w:r>
        <w:t>What remains empirical</w:t>
      </w:r>
    </w:p>
    <w:p>
      <w:r>
        <w:t>The software can now run a complete, auditable comparison without inventing decisions after revision truncation. It cannot promise a nonzero treatment effect, distinct behavior for every persona, identified dynamic beta, or human realism. The next live feasibility screen tests whether the actual computation contrast works. If it fails, the runner preserves a partial report and buys no games. A larger hypothesis study needs enough independent paired chains and a justified effect/variance-based power plan. The old pilot's evidence and its report are preserved separately.</w:t>
      </w:r>
    </w:p>
    <w:sectPr w:rsidR="00FC693F" w:rsidRPr="0006063C" w:rsidSect="00034616">
      <w:pgSz w:w="12240" w:h="15840"/>
      <w:pgMar w:top="144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