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</w:t>
      </w:r>
      <w:r w:rsidR="00DF3D75">
        <w:rPr>
          <w:b/>
        </w:rPr>
        <w:t>stão</w:t>
      </w:r>
      <w:r>
        <w:rPr>
          <w:b/>
        </w:rPr>
        <w:t xml:space="preserve"> de Projetos</w:t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consolidada em Gerenciamento de Projetos e Business Analysis em TI, com atuação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em facilitação de times ágeis (Scrum e Kanban), definição de OKRs, gestão de feedbacks, e aplicação de métricas de performance (throughput, lead time, cycle time).;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Gerenciamento de projetos com foco em melhoria de processos, redução de custos e aumento de receita, utilizando metodologias PMI, Scrum e Kanban.;</w:t>
      </w:r>
      <w:r w:rsidR="0096648C"/>
      <w:r w:rsidR="00B975B6"/>
      <w:r w:rsidR="0096648C"/>
      <w:proofErr w:type="spellStart"/>
      <w:r w:rsidR="0096648C"/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interface com stakeholders de diversas áreas (Comercial, Jurídico, Financeiro, Compras)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