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Truth Probing Checkpoint and Submission Plan</w:t>
      </w:r>
    </w:p>
    <w:p>
      <w:pPr>
        <w:pStyle w:val="Subtitle"/>
      </w:pPr>
      <w:r>
        <w:t>Grace Shan   |   Revision 3   |   October 3 to 11 2026   |   New York time</w:t>
      </w:r>
    </w:p>
    <w:p>
      <w:commentRangeStart w:id="0"/>
      <w:r>
        <w:rPr/>
        <w:t>Complete the full atomic-training bank comparison, use the finished saved-score diagnosis, and choose the supported submission claim on October 5. Lock the analysis on October 6, target final E evaluation on October 7, and complete a manuscript for substantive review on October 8. Behavior and matched chat controls are optional context and must not delay this sequence.</w:t>
      </w:r>
      <w:commentRangeEnd w:id="0"/>
      <w:r>
        <w:rPr>
          <w:rStyle w:val="CommentReference"/>
        </w:rPr>
        <w:commentReference w:id="0"/>
      </w:r>
    </w:p>
    <w:p>
      <w:r>
        <w:t>The central paper concerns atomic-to-compound readout transfer and supervised readout adaptation. Revision 3 changes priorities and stopping conditions, while preserving completed results and frozen scientific definitions. Claims about explicit model judgments require validated behavior; claims about failure to use available information need further evidence. We can finish the central empirical paper without making either claim. Dates below are internal milestones, not verified venue deadlines.</w:t>
      </w:r>
    </w:p>
    <w:p>
      <w:pPr>
        <w:pStyle w:val="Heading2"/>
      </w:pPr>
      <w:r>
        <w:t>Starting evidence that determines the priorities</w:t>
      </w:r>
    </w:p>
    <w:tbl>
      <w:tblPr>
        <w:tblW w:type="auto" w:w="0"/>
        <w:jc w:val="center"/>
        <w:tblLayout w:type="fixed"/>
        <w:tblLook w:firstColumn="1" w:firstRow="1" w:lastColumn="0" w:lastRow="0" w:noHBand="0" w:noVBand="1" w:val="04A0"/>
      </w:tblPr>
      <w:tblGrid>
        <w:gridCol w:w="4536"/>
        <w:gridCol w:w="2808"/>
        <w:gridCol w:w="2808"/>
      </w:tblGrid>
      <w:tr>
        <w:trPr>
          <w:cantSplit/>
          <w:tblHeader/>
        </w:trPr>
        <w:tc>
          <w:tcPr>
            <w:tcW w:type="dxa" w:w="4536"/>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left"/>
            </w:pPr>
            <w:r>
              <w:rPr>
                <w:b/>
                <w:color w:val="FFFFFF"/>
                <w:sz w:val="19"/>
              </w:rPr>
              <w:t>Bare OR boundary on D</w:t>
            </w:r>
          </w:p>
        </w:tc>
        <w:tc>
          <w:tcPr>
            <w:tcW w:type="dxa" w:w="280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b/>
                <w:color w:val="FFFFFF"/>
                <w:sz w:val="19"/>
              </w:rPr>
              <w:t>Qwen</w:t>
            </w:r>
          </w:p>
        </w:tc>
        <w:tc>
          <w:tcPr>
            <w:tcW w:type="dxa" w:w="280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b/>
                <w:color w:val="FFFFFF"/>
                <w:sz w:val="19"/>
              </w:rPr>
              <w:t>Llama</w:t>
            </w:r>
          </w:p>
        </w:tc>
      </w:tr>
      <w:tr>
        <w:trPr>
          <w:cantSplit/>
        </w:trPr>
        <w:tc>
          <w:tcPr>
            <w:tcW w:type="dxa" w:w="4536"/>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9"/>
              </w:rPr>
              <w:t>Compound-informed selection S_all</w:t>
            </w:r>
          </w:p>
        </w:tc>
        <w:tc>
          <w:tcPr>
            <w:tcW w:type="dxa" w:w="280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.8503</w:t>
            </w:r>
          </w:p>
        </w:tc>
        <w:tc>
          <w:tcPr>
            <w:tcW w:type="dxa" w:w="280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.8373</w:t>
            </w:r>
          </w:p>
        </w:tc>
      </w:tr>
      <w:tr>
        <w:trPr>
          <w:cantSplit/>
        </w:trPr>
        <w:tc>
          <w:tcPr>
            <w:tcW w:type="dxa" w:w="4536"/>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9"/>
              </w:rPr>
              <w:t>Mixed-loss repair R_all</w:t>
            </w:r>
          </w:p>
        </w:tc>
        <w:tc>
          <w:tcPr>
            <w:tcW w:type="dxa" w:w="280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.9726</w:t>
            </w:r>
          </w:p>
        </w:tc>
        <w:tc>
          <w:tcPr>
            <w:tcW w:type="dxa" w:w="280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.9905</w:t>
            </w:r>
          </w:p>
        </w:tc>
      </w:tr>
      <w:tr>
        <w:trPr>
          <w:cantSplit/>
        </w:trPr>
        <w:tc>
          <w:tcPr>
            <w:tcW w:type="dxa" w:w="4536"/>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9"/>
              </w:rPr>
              <w:t>Repair gain and paired 95 percent interval</w:t>
            </w:r>
          </w:p>
        </w:tc>
        <w:tc>
          <w:tcPr>
            <w:tcW w:type="dxa" w:w="280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.1223 [.1038, .1388]</w:t>
            </w:r>
          </w:p>
        </w:tc>
        <w:tc>
          <w:tcPr>
            <w:tcW w:type="dxa" w:w="280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.1532 [.1266, .1780]</w:t>
            </w:r>
          </w:p>
        </w:tc>
      </w:tr>
      <w:tr>
        <w:trPr>
          <w:cantSplit/>
        </w:trPr>
        <w:tc>
          <w:tcPr>
            <w:tcW w:type="dxa" w:w="4536"/>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9"/>
              </w:rPr>
              <w:t>Equal-topic macro repair gain</w:t>
            </w:r>
          </w:p>
        </w:tc>
        <w:tc>
          <w:tcPr>
            <w:tcW w:type="dxa" w:w="280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.1275</w:t>
            </w:r>
          </w:p>
        </w:tc>
        <w:tc>
          <w:tcPr>
            <w:tcW w:type="dxa" w:w="280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.1720</w:t>
            </w:r>
          </w:p>
        </w:tc>
      </w:tr>
    </w:tbl>
    <w:p>
      <w:pPr>
        <w:spacing w:after="0"/>
      </w:pPr>
      <w:r/>
    </w:p>
    <w:p>
      <w:r>
        <w:t>Repair retains atomic and AND AUROC at pooled and macro scope, and its gain is positive in all five topics in each model; all ten topic intervals exclude zero pointwise. It also beats matched isolated-fact and layer controls. The unrestricted and eligible bank maxima coincide at .8600 and .8481, so the existing eligibility filter does not create this finite-bank gap. Oracle comparisons remain descriptive. [1, 2a, 2b]</w:t>
      </w:r>
    </w:p>
    <w:p>
      <w:r>
        <w:t>Constituent truth is strongly decodable from a whole bare compound state and transfers across AND and OR, especially in Llama. Wording exposes distinct weaknesses. For repaired “or both” scores, Llama is .8882 pooled but .9692 macro, with every topic between .9416 and .9935. Qwen is .8829 pooled and .9181 macro. Separately, Qwen constituent AUROC falls under some wording, while Llama can retain high ranking with Boolean balanced accuracy .6078. [1–3]</w:t>
      </w:r>
    </w:p>
    <w:tbl>
      <w:tblPr>
        <w:tblW w:type="auto" w:w="0"/>
        <w:jc w:val="center"/>
        <w:tblLayout w:type="fixed"/>
        <w:tblLook w:firstColumn="1" w:firstRow="1" w:lastColumn="0" w:lastRow="0" w:noHBand="0" w:noVBand="1" w:val="04A0"/>
      </w:tblPr>
      <w:tblGrid>
        <w:gridCol w:w="3024"/>
        <w:gridCol w:w="5688"/>
        <w:gridCol w:w="1440"/>
      </w:tblGrid>
      <w:tr>
        <w:trPr>
          <w:cantSplit/>
          <w:tblHeader/>
        </w:trPr>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left"/>
            </w:pPr>
            <w:r>
              <w:rPr>
                <w:color w:val="FFFFFF"/>
                <w:sz w:val="19"/>
              </w:rPr>
              <w:t>Task and status</w:t>
            </w:r>
          </w:p>
        </w:tc>
        <w:tc>
          <w:tcPr>
            <w:tcW w:type="dxa" w:w="568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color w:val="FFFFFF"/>
                <w:sz w:val="19"/>
              </w:rPr>
              <w:t>Question answered</w:t>
            </w:r>
          </w:p>
        </w:tc>
        <w:tc>
          <w:tcPr>
            <w:tcW w:type="dxa" w:w="144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color w:val="FFFFFF"/>
                <w:sz w:val="19"/>
              </w:rPr>
              <w:t>Lead</w:t>
            </w:r>
          </w:p>
        </w:tc>
      </w:tr>
      <w:tr>
        <w:trPr>
          <w:cantSplit/>
        </w:trPr>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color w:val="000000"/>
                <w:sz w:val="19"/>
              </w:rPr>
              <w:t>Saved-score diagnosis complete</w:t>
            </w:r>
          </w:p>
        </w:tc>
        <w:tc>
          <w:tcPr>
            <w:tcW w:type="dxa" w:w="568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color w:val="000000"/>
                <w:sz w:val="19"/>
              </w:rPr>
              <w:t>What kind of wording failure occurs?</w:t>
            </w:r>
          </w:p>
        </w:tc>
        <w:tc>
          <w:tcPr>
            <w:tcW w:type="dxa" w:w="144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color w:val="000000"/>
                <w:sz w:val="19"/>
              </w:rPr>
              <w:t>mac 2</w:t>
            </w:r>
          </w:p>
        </w:tc>
      </w:tr>
      <w:tr>
        <w:trPr>
          <w:cantSplit/>
        </w:trPr>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color w:val="000000"/>
                <w:sz w:val="19"/>
              </w:rPr>
              <w:t>Behavior and chat optional</w:t>
            </w:r>
          </w:p>
        </w:tc>
        <w:tc>
          <w:tcPr>
            <w:tcW w:type="dxa" w:w="568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color w:val="000000"/>
                <w:sz w:val="19"/>
              </w:rPr>
              <w:t>What can validated explicit judgments add?</w:t>
            </w:r>
          </w:p>
        </w:tc>
        <w:tc>
          <w:tcPr>
            <w:tcW w:type="dxa" w:w="144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color w:val="000000"/>
                <w:sz w:val="19"/>
              </w:rPr>
              <w:t>mac 1</w:t>
            </w:r>
          </w:p>
        </w:tc>
      </w:tr>
      <w:tr>
        <w:trPr>
          <w:cantSplit/>
        </w:trPr>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color w:val="000000"/>
                <w:sz w:val="19"/>
              </w:rPr>
              <w:t>Full atomic-training bank required</w:t>
            </w:r>
          </w:p>
        </w:tc>
        <w:tc>
          <w:tcPr>
            <w:tcW w:type="dxa" w:w="568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color w:val="000000"/>
                <w:sz w:val="19"/>
              </w:rPr>
              <w:t>Does the restored training procedure close the repair advantage?</w:t>
            </w:r>
          </w:p>
        </w:tc>
        <w:tc>
          <w:tcPr>
            <w:tcW w:type="dxa" w:w="144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color w:val="000000"/>
                <w:sz w:val="19"/>
              </w:rPr>
              <w:t>mac 2</w:t>
            </w:r>
          </w:p>
        </w:tc>
      </w:tr>
      <w:tr>
        <w:trPr>
          <w:cantSplit/>
        </w:trPr>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color w:val="000000"/>
                <w:sz w:val="19"/>
              </w:rPr>
              <w:t>Claim and analysis lock required</w:t>
            </w:r>
          </w:p>
        </w:tc>
        <w:tc>
          <w:tcPr>
            <w:tcW w:type="dxa" w:w="568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color w:val="000000"/>
                <w:sz w:val="19"/>
              </w:rPr>
              <w:t>Which claim is supported for submission?</w:t>
            </w:r>
          </w:p>
        </w:tc>
        <w:tc>
          <w:tcPr>
            <w:tcW w:type="dxa" w:w="144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color w:val="000000"/>
                <w:sz w:val="19"/>
              </w:rPr>
              <w:t>Both</w:t>
            </w:r>
          </w:p>
        </w:tc>
      </w:tr>
    </w:tbl>
    <w:p>
      <w:pPr>
        <w:spacing w:after="0"/>
      </w:pPr>
      <w:r/>
    </w:p>
    <w:p>
      <w:r>
        <w:rPr>
          <w:sz w:val="18"/>
        </w:rPr>
        <w:t>B25 means 25 structured pair blocks, 50 entities, 100 facts and 400 dependent compound rows per sample, alongside atomic training. Seeds 11, 23 and 37 stay visible. It is one tested positive budget, not an established minimum-label or learning-curve result.</w:t>
      </w:r>
    </w:p>
    <w:p>
      <w:pPr>
        <w:pStyle w:val="Heading1"/>
        <w:pageBreakBefore/>
      </w:pPr>
      <w:r>
        <w:t>1 Use the completed saved score diagnosis</w:t>
      </w:r>
    </w:p>
    <w:p>
      <w:commentRangeStart w:id="1"/>
      <w:r>
        <w:t>Completed on October 3. Delivery bca07a055c70f7debb6389cf68feb6d2ab7c543f, preserved in the published integration lineage, contains the diagnosis and missing-input inventory. For Llama repaired “or both,” 89.7 percent of the pooled decline comes from off-diagonal comparisons; this is a descriptive point decomposition. Qwen also shows within-topic ordering loss, and Llama held-out AND wording shows frozen-threshold failure. No correction was fitted on D. [6]</w:t>
      </w:r>
      <w:commentRangeEnd w:id="1"/>
      <w:r>
        <w:rPr>
          <w:rStyle w:val="CommentReference"/>
        </w:rPr>
        <w:commentReference w:id="1"/>
      </w:r>
    </w:p>
    <w:p>
      <w:pPr>
        <w:pStyle w:val="Heading2"/>
      </w:pPr>
      <w:r>
        <w:t>Completed cross topic decomposition</w:t>
      </w:r>
    </w:p>
    <w:p>
      <w:r>
        <w:t>The report constructs a five by five matrix for each model, sample and OR wording. Entry i,j compares mixed TF/FT positives from topic i with FF negatives from topic j under the same fitted head. Bare, wording and paired-difference matrices distinguish within-topic ranking from cross-topic comparability.</w:t>
      </w:r>
    </w:p>
    <w:p>
      <w:r>
        <w:t>Pooled AUROC is reconstructed as a weighted sum of cell AUROCs, using positive mass in topic i times negative mass in topic j over total cross-class mass, with half credit for ties. Diagonal and off-diagonal contributions include their masses. Equal-topic macro AUROC is the unweighted diagonal mean, not the diagonal contribution to pooled AUROC. Independent reconstruction passed. [6]</w:t>
      </w:r>
    </w:p>
    <w:p>
      <w:r>
        <w:t>The completed analysis treats each fitted sample separately and averages metrics, never different heads’ scores. Paired entity draws recompute cell weights; zero-mass cells contribute zero, while undefined pooled or fixed-five-topic macro endpoints remain undefined. No draws or topics are silently dropped. These conventions remain fixed; this section is a record of completed work, not a request to rerun it.</w:t>
      </w:r>
    </w:p>
    <w:p>
      <w:pPr>
        <w:pStyle w:val="Heading2"/>
      </w:pPr>
      <w:r>
        <w:t>Separate shifts ordering and composition</w:t>
      </w:r>
    </w:p>
    <w:tbl>
      <w:tblPr>
        <w:tblW w:type="auto" w:w="0"/>
        <w:jc w:val="center"/>
        <w:tblLayout w:type="fixed"/>
        <w:tblLook w:firstColumn="1" w:firstRow="1" w:lastColumn="0" w:lastRow="0" w:noHBand="0" w:noVBand="1" w:val="04A0"/>
      </w:tblPr>
      <w:tblGrid>
        <w:gridCol w:w="1944"/>
        <w:gridCol w:w="4824"/>
        <w:gridCol w:w="3384"/>
      </w:tblGrid>
      <w:tr>
        <w:trPr>
          <w:cantSplit/>
          <w:tblHeader/>
        </w:trPr>
        <w:tc>
          <w:tcPr>
            <w:tcW w:type="dxa" w:w="194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left"/>
            </w:pPr>
            <w:r>
              <w:rPr>
                <w:b/>
                <w:color w:val="FFFFFF"/>
                <w:sz w:val="18"/>
              </w:rPr>
              <w:t>Diagnostic</w:t>
            </w:r>
          </w:p>
        </w:tc>
        <w:tc>
          <w:tcPr>
            <w:tcW w:type="dxa" w:w="48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color w:val="FFFFFF"/>
                <w:sz w:val="18"/>
              </w:rPr>
              <w:t>Completed output</w:t>
            </w:r>
          </w:p>
        </w:tc>
        <w:tc>
          <w:tcPr>
            <w:tcW w:type="dxa" w:w="338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b/>
                <w:color w:val="FFFFFF"/>
                <w:sz w:val="18"/>
              </w:rPr>
              <w:t>Interpretation limit</w:t>
            </w:r>
          </w:p>
        </w:tc>
      </w:tr>
      <w:tr>
        <w:trPr>
          <w:cantSplit/>
        </w:trPr>
        <w:tc>
          <w:tcPr>
            <w:tcW w:type="dxa" w:w="194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8"/>
              </w:rPr>
              <w:t>Matched wording changes</w:t>
            </w:r>
          </w:p>
        </w:tc>
        <w:tc>
          <w:tcPr>
            <w:tcW w:type="dxa" w:w="48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8"/>
              </w:rPr>
              <w:t>Bare-to-wording score deltas by topic, truth cell, surface order and head; mean, median and dispersion</w:t>
            </w:r>
          </w:p>
        </w:tc>
        <w:tc>
          <w:tcPr>
            <w:tcW w:type="dxa" w:w="338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8"/>
              </w:rPr>
              <w:t>Compare identical fact and order bindings</w:t>
            </w:r>
          </w:p>
        </w:tc>
      </w:tr>
      <w:tr>
        <w:trPr>
          <w:cantSplit/>
        </w:trPr>
        <w:tc>
          <w:tcPr>
            <w:tcW w:type="dxa" w:w="194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8"/>
              </w:rPr>
              <w:t>Label and conditional changes</w:t>
            </w:r>
          </w:p>
        </w:tc>
        <w:tc>
          <w:tcPr>
            <w:tcW w:type="dxa" w:w="48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8"/>
              </w:rPr>
              <w:t>Delta summaries by label and other-constituent truth, with matched score plots and rank changes</w:t>
            </w:r>
          </w:p>
        </w:tc>
        <w:tc>
          <w:tcPr>
            <w:tcW w:type="dxa" w:w="338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8"/>
              </w:rPr>
              <w:t>Conditional deltas alone do not establish interference</w:t>
            </w:r>
          </w:p>
        </w:tc>
      </w:tr>
      <w:tr>
        <w:trPr>
          <w:cantSplit/>
        </w:trPr>
        <w:tc>
          <w:tcPr>
            <w:tcW w:type="dxa" w:w="194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8"/>
              </w:rPr>
              <w:t>Frozen decisions</w:t>
            </w:r>
          </w:p>
        </w:tc>
        <w:tc>
          <w:tcPr>
            <w:tcW w:type="dxa" w:w="48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8"/>
              </w:rPr>
              <w:t>Per-head confusion counts, joint correctness and Boolean accuracy by cell/order; balanced accuracy only with both classes</w:t>
            </w:r>
          </w:p>
        </w:tc>
        <w:tc>
          <w:tcPr>
            <w:tcW w:type="dxa" w:w="338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8"/>
              </w:rPr>
              <w:t>Keep the original zero-logit rule and all denominators</w:t>
            </w:r>
          </w:p>
        </w:tc>
      </w:tr>
      <w:tr>
        <w:trPr>
          <w:cantSplit/>
        </w:trPr>
        <w:tc>
          <w:tcPr>
            <w:tcW w:type="dxa" w:w="194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8"/>
              </w:rPr>
              <w:t>External composition</w:t>
            </w:r>
          </w:p>
        </w:tc>
        <w:tc>
          <w:tcPr>
            <w:tcW w:type="dxa" w:w="48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8"/>
              </w:rPr>
              <w:t>Individual-head and min/max AUROCs on the same support, by topic and pooled</w:t>
            </w:r>
          </w:p>
        </w:tc>
        <w:tc>
          <w:tcPr>
            <w:tcW w:type="dxa" w:w="338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8"/>
              </w:rPr>
              <w:t>High individual ranking does not ensure comparable head scales</w:t>
            </w:r>
          </w:p>
        </w:tc>
      </w:tr>
    </w:tbl>
    <w:p>
      <w:pPr>
        <w:spacing w:after="0"/>
      </w:pPr>
      <w:r/>
    </w:p>
    <w:p>
      <w:r>
        <w:t>Under s_wording = a × s_bare + b with a &gt; 0, score deltas can differ by label or truth condition even though ranking is unchanged. Conditional deltas identify a question, not interference. Changed ordering or within-topic AUROC supports a problem beyond simple positive affine change. Positive scaling alone preserves signs and cannot fix zero-logit Boolean decisions; relative scales can alter min/max ranking.</w:t>
      </w:r>
    </w:p>
    <w:p>
      <w:r>
        <w:t>A cross-topic decomposition explains residual wording loss, not the original repair advantage: repair already improves macro and within-topic discrimination. Poor off-diagonal cells alone do not prove additive offsets; interpret them with matched score changes and truth-cell results.</w:t>
      </w:r>
    </w:p>
    <w:p>
      <w:pPr>
        <w:pStyle w:val="Heading2"/>
      </w:pPr>
      <w:r>
        <w:t>Completed output and interpretation</w:t>
      </w:r>
    </w:p>
    <w:p>
      <w:r>
        <w:t>Carry the existing decomposition, matched score changes and confusion tables into the paper. They support distinct accounts of cross-topic comparability, within-topic ordering and threshold failures. The 89.7 percent result does not establish a pure additive-offset mechanism or explain away the original within-topic repair gains. No calibration or new experiment is required to finish this panel.</w:t>
      </w:r>
    </w:p>
    <w:p>
      <w:pPr>
        <w:pStyle w:val="Heading1"/>
        <w:pageBreakBefore/>
      </w:pPr>
      <w:r>
        <w:t>2 Keep behavior and matched chat as optional context</w:t>
      </w:r>
    </w:p>
    <w:p>
      <w:commentRangeStart w:id="2"/>
      <w:r>
        <w:t>Run this panel only if its reviewed preflight and forecast fit the schedule without displacing full-bank analysis, E preparation or writing. It is required only for a claim about explicit judgments. Preserve the frozen 50 D pairs, ten per topic, both prompts, all cells and orders: 800 compounds plus 200 isolated-fact bindings before deduplication. Do not replace pairs using scores. [4]</w:t>
      </w:r>
      <w:commentRangeEnd w:id="2"/>
      <w:r>
        <w:rPr>
          <w:rStyle w:val="CommentReference"/>
        </w:rPr>
        <w:commentReference w:id="2"/>
      </w:r>
    </w:p>
    <w:p>
      <w:pPr>
        <w:pStyle w:val="Heading2"/>
      </w:pPr>
      <w:r>
        <w:t>Keep the two behavioral measurements distinct</w:t>
      </w:r>
    </w:p>
    <w:p>
      <w:r>
        <w:t>Keep both approved prompts, the native chat template and generation prefix, with no extra system message. Score full exact True and False continuations without added whitespace, length normalization or end-of-turn tokens. Save token IDs and verify the prompt boundary. Rank by log P(True) minus log P(False); decide at zero, with ties True.</w:t>
      </w:r>
    </w:p>
    <w:p>
      <w:r>
        <w:t>Generate greedily with at most eight new tokens and native termination. Accept exact True or False after trimming outer whitespace and removing termination tokens. Other outputs remain format failures and incorrect in primary generation accuracy, but report formatting separately from valid factual errors. Forced-choice likelihood is not the probability of producing a valid answer.</w:t>
      </w:r>
    </w:p>
    <w:p>
      <w:r>
        <w:t>The full sample is primary. The secondary mask retains a pair only when all four isolated likelihood decisions are correct for that model/prompt, keeping all 16 compounds. Report coverage and empty topics. Retain isolated-fact margins, including label-signed distributions, to distinguish barely correct from confident decisions without changing the mask. Do not filter on compound correctness; different masks describe different populations.</w:t>
      </w:r>
    </w:p>
    <w:tbl>
      <w:tblPr>
        <w:tblW w:type="auto" w:w="0"/>
        <w:jc w:val="center"/>
        <w:tblLayout w:type="fixed"/>
        <w:tblLook w:firstColumn="1" w:firstRow="1" w:lastColumn="0" w:lastRow="0" w:noHBand="0" w:noVBand="1" w:val="04A0"/>
      </w:tblPr>
      <w:tblGrid>
        <w:gridCol w:w="3024"/>
        <w:gridCol w:w="7128"/>
      </w:tblGrid>
      <w:tr>
        <w:trPr>
          <w:cantSplit/>
          <w:tblHeader/>
        </w:trPr>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left"/>
            </w:pPr>
            <w:r>
              <w:rPr>
                <w:b/>
                <w:color w:val="FFFFFF"/>
                <w:sz w:val="19"/>
              </w:rPr>
              <w:t>Behavior output</w:t>
            </w:r>
          </w:p>
        </w:tc>
        <w:tc>
          <w:tcPr>
            <w:tcW w:type="dxa" w:w="712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b/>
                <w:color w:val="FFFFFF"/>
                <w:sz w:val="19"/>
              </w:rPr>
              <w:t>What to report</w:t>
            </w:r>
          </w:p>
        </w:tc>
      </w:tr>
      <w:tr>
        <w:trPr>
          <w:cantSplit/>
        </w:trPr>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9"/>
              </w:rPr>
              <w:t>By model and prompt</w:t>
            </w:r>
          </w:p>
        </w:tc>
        <w:tc>
          <w:tcPr>
            <w:tcW w:type="dxa" w:w="712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Likelihood/generation accuracy, True-response rate, format failures and disagreement with explicit denominators</w:t>
            </w:r>
          </w:p>
        </w:tc>
      </w:tr>
      <w:tr>
        <w:trPr>
          <w:cantSplit/>
        </w:trPr>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9"/>
              </w:rPr>
              <w:t>By operator cell and order</w:t>
            </w:r>
          </w:p>
        </w:tc>
        <w:tc>
          <w:tcPr>
            <w:tcW w:type="dxa" w:w="712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TT, TF, FT and FF; pooled, topic and macro summaries where defined</w:t>
            </w:r>
          </w:p>
        </w:tc>
      </w:tr>
      <w:tr>
        <w:trPr>
          <w:cantSplit/>
        </w:trPr>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9"/>
              </w:rPr>
              <w:t>Ranking and uncertainty</w:t>
            </w:r>
          </w:p>
        </w:tc>
        <w:tc>
          <w:tcPr>
            <w:tcW w:type="dxa" w:w="712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AND/OR and OR-boundary AUROC; paired entity intervals; no within-cell truth AUROC</w:t>
            </w:r>
          </w:p>
        </w:tc>
      </w:tr>
      <w:tr>
        <w:trPr>
          <w:cantSplit/>
        </w:trPr>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9"/>
              </w:rPr>
              <w:t>Coverage</w:t>
            </w:r>
          </w:p>
        </w:tc>
        <w:tc>
          <w:tcPr>
            <w:tcW w:type="dxa" w:w="712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All-pair and isolated-correct results, explicit counts and undefined endpoints</w:t>
            </w:r>
          </w:p>
        </w:tc>
      </w:tr>
    </w:tbl>
    <w:p>
      <w:pPr>
        <w:spacing w:after="0"/>
      </w:pPr>
      <w:r/>
    </w:p>
    <w:p>
      <w:r>
        <w:t>The headline probe–behavior table must use the same 50 pairs and row identities; retain full-D probe results separately. For readouts with existing frozen decision rules, count both correct, probe-only wrong, behavior-only wrong and both wrong, split by cell/order. For generation, flag format failures separately. Do not invent a threshold for an AUROC-only arm or retune any rule on D.</w:t>
      </w:r>
    </w:p>
    <w:p>
      <w:pPr>
        <w:pStyle w:val="Heading2"/>
      </w:pPr>
      <w:r>
        <w:t>Matched chat controls are a separately optional extension</w:t>
      </w:r>
    </w:p>
    <w:p>
      <w:r>
        <w:t>After valid behavior is available, complete the eight named chat heads only if they fit the remaining schedule. Extract last-input states for chat P15, the fixed 8,000-row T_C control and the same 800 D compounds. Fit R0 and C_clean with chat-P15 preprocessing at saved Qwen layers 17 and 18 and Llama layers 15 and 12. Match raw/chat family, layer, fitting identities and support; do not search chat layers.</w:t>
      </w:r>
    </w:p>
    <w:p>
      <w:r>
        <w:t>Both prompts require up to 4,000 model/prompt/input combinations before reuse, including scoring and generation. The eight-head chat panel adds 23,156 logical extraction bindings across models. Its workload must be forecast separately. Current training preflight is incomplete: Qwen failed a prefix/full likelihood check; Llama failed a termination-metadata check. Neither failure is a behavioral research result or a prerequisite for raw-only extraction.</w:t>
      </w:r>
    </w:p>
    <w:p>
      <w:r>
        <w:rPr>
          <w:sz w:val="18"/>
        </w:rPr>
        <w:t>Keep chat preprocessing on the original P15; full-bank sensitivity must not alter this exposure. Chat R0/C_clean establish only these Prompt 1 readouts, not prompted constituent availability or causal use. Weakness at two layers does not prove absence. A later failure-to-use claim needs prospective constituent validation in the same prompted regime.</w:t>
      </w:r>
    </w:p>
    <w:p>
      <w:pPr>
        <w:pStyle w:val="Heading1"/>
        <w:pageBreakBefore/>
      </w:pPr>
      <w:r>
        <w:t>3 Restore the full atomic training pool as a sensitivity check</w:t>
      </w:r>
    </w:p>
    <w:p>
      <w:commentRangeStart w:id="3"/>
      <w:r>
        <w:t>This is the critical remaining robustness check. Ask whether restoring the full atomic-training procedure closes the advantage of the existing reduced-P repair. Exposure, preprocessing and balanced sampling change together, so the experiment does not isolate an A15 withholding effect. It is an advantaged comparator with additional atomic exposure, including A identities, and preserves the original B25 comparison.</w:t>
      </w:r>
      <w:commentRangeEnd w:id="3"/>
      <w:r>
        <w:rPr>
          <w:rStyle w:val="CommentReference"/>
        </w:rPr>
        <w:commentReference w:id="3"/>
      </w:r>
    </w:p>
    <w:p>
      <w:pPr>
        <w:pStyle w:val="Heading2"/>
      </w:pPr>
      <w:r>
        <w:t>Freeze the comparison before fitting</w:t>
      </w:r>
    </w:p>
    <w:p>
      <w:r>
        <w:t>Restore the 3,040 admitted corrected outer-training bindings, compared with 2,778 in P15: 262 additional row bindings, not necessarily 262 missing texts. Keep D, A15, B25 samples, all existing repair heads, methods, layer ranges, hyperparameters and convergence rules fixed. Do not use historical tensors to fill gaps; their compatibility remains unverified.</w:t>
      </w:r>
    </w:p>
    <w:p>
      <w:r>
        <w:t>The inventory is complete: 2,909 existing fresh representations plus 131 missing texts per model cover full train. Qwen’s 131 supplements are accepted in the execution handoff; Llama has none yet. Make raw-only Llama extraction the next GPU task after reviewing the backend separation. Preserve Qwen’s producer and arrays; then verify both model handoffs through an explicit producer-aware adapter. Chat or behavior preflight must not gate this step.</w:t>
      </w:r>
    </w:p>
    <w:p>
      <w:r>
        <w:t>Refit the same 600-candidate atomic bank: five LR C values plus DoM, covariance-MM, t_G, TTPD and R0 at every saved layer. Keep existing objectives and convergence rules. Standardized procedures use full-train preprocessing; t_G/TTPD use the verified 1,000-row balanced sampler instead of 700. Preserve raw LR C scaling. Preparation is published at 98ec4004168c2bc5d1906ce1d7cf95a93dde759f; no candidates have run. [8]</w:t>
      </w:r>
    </w:p>
    <w:p>
      <w:pPr>
        <w:pStyle w:val="Heading2"/>
      </w:pPr>
      <w:r>
        <w:t>Keep selection and optimistic references separate</w:t>
      </w:r>
    </w:p>
    <w:p>
      <w:r>
        <w:t>Select S_full using the same allocated B25 labels and tie rules for each seed; also report the full-bank atomic-only selector. Hold eligibility to the original fresh reduced-LR atomic D reference minus .005, so the primary sensitivity comparison has a common gate. Report the full-training canonical LR separately. Compute both eligible and unrestricted D bank maxima descriptively, without using them to change S_full or repair.</w:t>
      </w:r>
    </w:p>
    <w:p>
      <w:r>
        <w:t>A identities now occur in full-bank atomic training and in the selection sample. Record that exposure explicitly: this is not selection on unseen training entities. D still remains entity-disjoint from fitting. Neither the selected candidate nor the D oracle can be advertised as a replacement equal-exposure treatment.</w:t>
      </w:r>
    </w:p>
    <w:tbl>
      <w:tblPr>
        <w:tblW w:type="auto" w:w="0"/>
        <w:jc w:val="center"/>
        <w:tblLayout w:type="fixed"/>
        <w:tblLook w:firstColumn="1" w:firstRow="1" w:lastColumn="0" w:lastRow="0" w:noHBand="0" w:noVBand="1" w:val="04A0"/>
      </w:tblPr>
      <w:tblGrid>
        <w:gridCol w:w="4392"/>
        <w:gridCol w:w="5760"/>
      </w:tblGrid>
      <w:tr>
        <w:trPr>
          <w:cantSplit/>
          <w:tblHeader/>
        </w:trPr>
        <w:tc>
          <w:tcPr>
            <w:tcW w:type="dxa" w:w="43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left"/>
            </w:pPr>
            <w:r>
              <w:rPr>
                <w:b/>
                <w:color w:val="FFFFFF"/>
                <w:sz w:val="19"/>
              </w:rPr>
              <w:t>Required contrast or report</w:t>
            </w:r>
          </w:p>
        </w:tc>
        <w:tc>
          <w:tcPr>
            <w:tcW w:type="dxa" w:w="57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b/>
                <w:color w:val="FFFFFF"/>
                <w:sz w:val="19"/>
              </w:rPr>
              <w:t>Purpose</w:t>
            </w:r>
          </w:p>
        </w:tc>
      </w:tr>
      <w:tr>
        <w:trPr>
          <w:cantSplit/>
        </w:trPr>
        <w:tc>
          <w:tcPr>
            <w:tcW w:type="dxa" w:w="43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9"/>
              </w:rPr>
              <w:t>Frozen R_all minus S_full</w:t>
            </w:r>
          </w:p>
        </w:tc>
        <w:tc>
          <w:tcPr>
            <w:tcW w:type="dxa" w:w="57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color w:val="000000"/>
                <w:sz w:val="19"/>
              </w:rPr>
              <w:t>Does the advantage survive restoring the full atomic-training procedure?</w:t>
            </w:r>
          </w:p>
        </w:tc>
      </w:tr>
      <w:tr>
        <w:trPr>
          <w:cantSplit/>
        </w:trPr>
        <w:tc>
          <w:tcPr>
            <w:tcW w:type="dxa" w:w="43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9"/>
              </w:rPr>
              <w:t>S_full minus S_atom_full</w:t>
            </w:r>
          </w:p>
        </w:tc>
        <w:tc>
          <w:tcPr>
            <w:tcW w:type="dxa" w:w="57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What do compound labels add to selection within the full bank?</w:t>
            </w:r>
          </w:p>
        </w:tc>
      </w:tr>
      <w:tr>
        <w:trPr>
          <w:cantSplit/>
        </w:trPr>
        <w:tc>
          <w:tcPr>
            <w:tcW w:type="dxa" w:w="43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9"/>
              </w:rPr>
              <w:t>Frozen R_all minus S_atom_full</w:t>
            </w:r>
          </w:p>
        </w:tc>
        <w:tc>
          <w:tcPr>
            <w:tcW w:type="dxa" w:w="57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Does the tested full-training atomic-only selector reach current repair?</w:t>
            </w:r>
          </w:p>
        </w:tc>
      </w:tr>
      <w:tr>
        <w:trPr>
          <w:cantSplit/>
        </w:trPr>
        <w:tc>
          <w:tcPr>
            <w:tcW w:type="dxa" w:w="43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9"/>
              </w:rPr>
              <w:t>S_full minus original S_all</w:t>
            </w:r>
          </w:p>
        </w:tc>
        <w:tc>
          <w:tcPr>
            <w:tcW w:type="dxa" w:w="57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How much does the practical bank improve?</w:t>
            </w:r>
          </w:p>
        </w:tc>
      </w:tr>
      <w:tr>
        <w:trPr>
          <w:cantSplit/>
        </w:trPr>
        <w:tc>
          <w:tcPr>
            <w:tcW w:type="dxa" w:w="43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9"/>
              </w:rPr>
              <w:t>Full and P15 eligible/unrestricted maxima</w:t>
            </w:r>
          </w:p>
        </w:tc>
        <w:tc>
          <w:tcPr>
            <w:tcW w:type="dxa" w:w="57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Does bank capacity change, separately from selection?</w:t>
            </w:r>
          </w:p>
        </w:tc>
      </w:tr>
      <w:tr>
        <w:trPr>
          <w:cantSplit/>
        </w:trPr>
        <w:tc>
          <w:tcPr>
            <w:tcW w:type="dxa" w:w="43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9"/>
              </w:rPr>
              <w:t>Atomic and AND retention; OR and boundary</w:t>
            </w:r>
          </w:p>
        </w:tc>
        <w:tc>
          <w:tcPr>
            <w:tcW w:type="dxa" w:w="57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Avoid trading away other endpoints to close one gap</w:t>
            </w:r>
          </w:p>
        </w:tc>
      </w:tr>
      <w:tr>
        <w:trPr>
          <w:cantSplit/>
        </w:trPr>
        <w:tc>
          <w:tcPr>
            <w:tcW w:type="dxa" w:w="43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9"/>
              </w:rPr>
              <w:t>Each sample, pooled, macro and five topics</w:t>
            </w:r>
          </w:p>
        </w:tc>
        <w:tc>
          <w:tcPr>
            <w:tcW w:type="dxa" w:w="57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Locate model or topic dependence; keep paired draws</w:t>
            </w:r>
          </w:p>
        </w:tc>
      </w:tr>
    </w:tbl>
    <w:p>
      <w:pPr>
        <w:spacing w:after="0"/>
      </w:pPr>
      <w:r/>
    </w:p>
    <w:p>
      <w:r>
        <w:rPr>
          <w:sz w:val="18"/>
        </w:rPr>
        <w:t>S_atom_full is the already-planned full-bank atomic-only selector, chosen once per model. Both added paired contrasts use existing fits. Compare each seed’s S_full/R_all with that same selector and average differences inside shared draws. Freeze heads before wording scores; reuse 2,000 paired entity draws. Oracle intervals remain fixed-winner and conditional. Account for all 600 candidates; failures block a complete-bank claim without silent method removal or relaxed validity.</w:t>
      </w:r>
    </w:p>
    <w:p>
      <w:pPr>
        <w:pStyle w:val="Heading1"/>
        <w:pageBreakBefore/>
      </w:pPr>
      <w:r>
        <w:t>4 Keep the objective ablation conditional and the claims precise</w:t>
      </w:r>
    </w:p>
    <w:p>
      <w:r>
        <w:t>The completed diagnosis and required full-bank result support the submission-claim decision. Add the following six-fit ablation only if claiming that the atomic-loss term preserves retention in R_fixed, and only if it can finish and be audited before the analysis lock. Otherwise omit that mechanistic claim. The broader compound-supervised readout result does not require this ablation.</w:t>
      </w:r>
    </w:p>
    <w:p>
      <w:pPr>
        <w:pStyle w:val="Heading2"/>
      </w:pPr>
      <w:r>
        <w:t>Matched deletion ablation at fixed layers</w:t>
      </w:r>
    </w:p>
    <w:p>
      <w:r>
        <w:t>Use saved zero-based Qwen L17 and Llama L15, with each of seeds 11, 23 and 37. Reuse the same B25 examples, P15-fitted preprocessing, free intercept, penalty, initialization policy and frozen optimizer acceptance as R_fixed. Drop only the atomic term from the mixed objective. Do not rescale the compound term or retune the regularization.</w:t>
      </w:r>
    </w:p>
    <w:tbl>
      <w:tblPr>
        <w:tblW w:type="auto" w:w="0"/>
        <w:jc w:val="center"/>
        <w:tblLayout w:type="fixed"/>
        <w:tblLook w:firstColumn="1" w:firstRow="1" w:lastColumn="0" w:lastRow="0" w:noHBand="0" w:noVBand="1" w:val="04A0"/>
      </w:tblPr>
      <w:tblGrid>
        <w:gridCol w:w="3528"/>
        <w:gridCol w:w="6624"/>
      </w:tblGrid>
      <w:tr>
        <w:trPr>
          <w:cantSplit/>
          <w:tblHeader/>
        </w:trPr>
        <w:tc>
          <w:tcPr>
            <w:tcW w:type="dxa" w:w="352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left"/>
            </w:pPr>
            <w:r>
              <w:rPr>
                <w:b/>
                <w:color w:val="FFFFFF"/>
                <w:sz w:val="19"/>
              </w:rPr>
              <w:t>Objective</w:t>
            </w:r>
          </w:p>
        </w:tc>
        <w:tc>
          <w:tcPr>
            <w:tcW w:type="dxa" w:w="66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b/>
                <w:color w:val="FFFFFF"/>
                <w:sz w:val="19"/>
              </w:rPr>
              <w:t>Frozen loss</w:t>
            </w:r>
          </w:p>
        </w:tc>
      </w:tr>
      <w:tr>
        <w:trPr>
          <w:cantSplit/>
        </w:trPr>
        <w:tc>
          <w:tcPr>
            <w:tcW w:type="dxa" w:w="352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9"/>
              </w:rPr>
              <w:t>Existing fixed-layer repair</w:t>
            </w:r>
          </w:p>
        </w:tc>
        <w:tc>
          <w:tcPr>
            <w:tcW w:type="dxa" w:w="66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0.5 mean atomic BCE + 0.5 mean compound BCE + .001 squared weight norm</w:t>
            </w:r>
          </w:p>
        </w:tc>
      </w:tr>
      <w:tr>
        <w:trPr>
          <w:cantSplit/>
        </w:trPr>
        <w:tc>
          <w:tcPr>
            <w:tcW w:type="dxa" w:w="352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9"/>
              </w:rPr>
              <w:t>Proposed matched compound-only ablation</w:t>
            </w:r>
          </w:p>
        </w:tc>
        <w:tc>
          <w:tcPr>
            <w:tcW w:type="dxa" w:w="66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0.5 mean compound BCE + .001 squared weight norm</w:t>
            </w:r>
          </w:p>
        </w:tc>
      </w:tr>
    </w:tbl>
    <w:p>
      <w:pPr>
        <w:spacing w:after="0"/>
      </w:pPr>
      <w:r/>
    </w:p>
    <w:p>
      <w:r>
        <w:t>Report compound discrimination and atomic/AND retention relative to the same fresh reduced LR, plus paired differences against R_fixed. Keep the .005 atomic and .02 AND margins, and show pooled and macro scopes, each seed and topic. Do not select a new layer or the best seed. C_clean remains a larger-supervision reference and cannot substitute for this matched-budget ablation.</w:t>
      </w:r>
    </w:p>
    <w:p>
      <w:commentRangeStart w:id="4"/>
      <w:r>
        <w:t>This deletion test concerns R_fixed at these layers and budgets. It does not establish why layer-selected R_all retains performance. Keep the compound coefficient at .5 and penalty at .001; rescaling the loss would change the effective penalty. A retention loss supports the atomic block’s contribution under this tested objective. Retention in both arms or wide intervals limits that claim; neither rules out other compound-only procedures.</w:t>
      </w:r>
      <w:commentRangeEnd w:id="4"/>
      <w:r>
        <w:rPr>
          <w:rStyle w:val="CommentReference"/>
        </w:rPr>
        <w:commentReference w:id="4"/>
      </w:r>
    </w:p>
    <w:p>
      <w:pPr>
        <w:pStyle w:val="Heading2"/>
      </w:pPr>
      <w:r>
        <w:t>Finish the contribution check early and start writing now</w:t>
      </w:r>
    </w:p>
    <w:p>
      <w:r>
        <w:t>Complete the one-page related-work matrix by October 4, checking the papers themselves: atomic-to-AND/OR transfer, constituent decoding and conjunction interventions, prompt dependence, and separate versus jointly learned truth directions. Bao, Li/Patil/Rawlins, Poulis and Ying are starting references, not verified novelty claims. Start the introduction, methods and completed results immediately; leave full-bank and E placeholders explicit.</w:t>
      </w:r>
    </w:p>
    <w:p>
      <w:r>
        <w:t>The proposed scientific claim is that strong atomic truth discrimination can coexist with poor compound transfer; under the tested reduced-P protocol, structured compound supervision learns a better retained readout, while constituent decoding shows that a global transfer failure need not imply absent constituent truth information. The controls support this claim. Identify its exact advance over the closest papers, rather than counting experimental components. Do not claim that every atomic procedure fails, repair uses the measured constituent directions, or B25 establishes sample efficiency.</w:t>
      </w:r>
    </w:p>
    <w:p>
      <w:pPr>
        <w:pStyle w:val="Heading2"/>
      </w:pPr>
      <w:r>
        <w:t>Defer expansions beyond this submission checkpoint</w:t>
      </w:r>
    </w:p>
    <w:p>
      <w:r>
        <w:t>Defer calibration, target-D thresholds, joint constituent retraining, budget curves, fresh A, reservation sweeps, broad prompt searches, a full chat bank and causal interventions. A follow-up is eligible only if it could invalidate or materially change the central claim, existing evidence cannot resolve it, and it can finish with review before October 6. Interesting explanatory questions alone do not meet this test.</w:t>
      </w:r>
    </w:p>
    <w:p>
      <w:pPr>
        <w:pStyle w:val="Heading1"/>
        <w:pageBreakBefore/>
      </w:pPr>
      <w:r>
        <w:t>5 Protect the analysis lock and writing dates</w:t>
      </w:r>
    </w:p>
    <w:p>
      <w:r>
        <w:t>Keep mac 1 and mac 2 as session labels. The reported runs used the same physical Mac, so serialize heavy CPU fitting and auditing by default. Remote GPU work can overlap one local CPU job. Parallel session work is useful for preparation and read-only review, not a reason to launch competing fits on the same host.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39"/>
        <w:gridCol w:w="7286"/>
        <w:gridCol w:w="1526"/>
      </w:tblGrid>
      <w:tr>
        <w:trPr>
          <w:cantSplit/>
          <w:tblHeader/>
        </w:trPr>
        <w:tc>
          <w:tcPr>
            <w:tcW w:type="dxa" w:w="1339"/>
            <w:vAlign w:val="center"/>
            <w:shd w:fill="374151"/>
            <w:tcMar>
              <w:top w:w="65" w:type="dxa"/>
              <w:bottom w:w="65" w:type="dxa"/>
              <w:left w:w="85" w:type="dxa"/>
              <w:right w:w="85" w:type="dxa"/>
            </w:tcMar>
          </w:tcPr>
          <w:p>
            <w:pPr>
              <w:spacing w:after="60" w:before="60" w:line="252" w:lineRule="auto"/>
              <w:jc w:val="center"/>
            </w:pPr>
            <w:r>
              <w:rPr>
                <w:rFonts w:ascii="Arial" w:hAnsi="Arial"/>
                <w:b/>
                <w:color w:val="FFFFFF"/>
                <w:sz w:val="19"/>
              </w:rPr>
              <w:t>Date</w:t>
            </w:r>
          </w:p>
        </w:tc>
        <w:tc>
          <w:tcPr>
            <w:tcW w:type="dxa" w:w="7286"/>
            <w:vAlign w:val="center"/>
            <w:shd w:fill="374151"/>
            <w:tcMar>
              <w:top w:w="65" w:type="dxa"/>
              <w:bottom w:w="65" w:type="dxa"/>
              <w:left w:w="85" w:type="dxa"/>
              <w:right w:w="85" w:type="dxa"/>
            </w:tcMar>
          </w:tcPr>
          <w:p>
            <w:pPr>
              <w:spacing w:after="60" w:before="60" w:line="252" w:lineRule="auto"/>
            </w:pPr>
            <w:r>
              <w:rPr>
                <w:rFonts w:ascii="Arial" w:hAnsi="Arial"/>
                <w:b/>
                <w:color w:val="FFFFFF"/>
                <w:sz w:val="19"/>
              </w:rPr>
              <w:t>Required outcome</w:t>
            </w:r>
          </w:p>
        </w:tc>
        <w:tc>
          <w:tcPr>
            <w:tcW w:type="dxa" w:w="1526"/>
            <w:vAlign w:val="center"/>
            <w:shd w:fill="374151"/>
            <w:tcMar>
              <w:top w:w="65" w:type="dxa"/>
              <w:bottom w:w="65" w:type="dxa"/>
              <w:left w:w="85" w:type="dxa"/>
              <w:right w:w="85" w:type="dxa"/>
            </w:tcMar>
          </w:tcPr>
          <w:p>
            <w:pPr>
              <w:spacing w:after="60" w:before="60" w:line="252" w:lineRule="auto"/>
              <w:jc w:val="center"/>
            </w:pPr>
            <w:r>
              <w:rPr>
                <w:rFonts w:ascii="Arial" w:hAnsi="Arial"/>
                <w:b/>
                <w:color w:val="FFFFFF"/>
                <w:sz w:val="19"/>
              </w:rPr>
              <w:t>Lead</w:t>
            </w:r>
          </w:p>
        </w:tc>
      </w:tr>
      <w:tr>
        <w:trPr>
          <w:cantSplit/>
        </w:trPr>
        <w:tc>
          <w:tcPr>
            <w:tcW w:type="dxa" w:w="1339"/>
            <w:vAlign w:val="center"/>
            <w:shd w:fill="FFFFFF"/>
            <w:tcMar>
              <w:top w:w="65" w:type="dxa"/>
              <w:bottom w:w="65" w:type="dxa"/>
              <w:left w:w="85" w:type="dxa"/>
              <w:right w:w="85" w:type="dxa"/>
            </w:tcMar>
          </w:tcPr>
          <w:p>
            <w:pPr>
              <w:spacing w:after="60" w:before="60" w:line="252" w:lineRule="auto"/>
              <w:jc w:val="center"/>
            </w:pPr>
            <w:r>
              <w:rPr>
                <w:rFonts w:ascii="Arial" w:hAnsi="Arial"/>
                <w:b w:val="0"/>
                <w:color w:val="000000"/>
                <w:sz w:val="19"/>
              </w:rPr>
              <w:t>Oct 3</w:t>
            </w:r>
          </w:p>
        </w:tc>
        <w:tc>
          <w:tcPr>
            <w:tcW w:type="dxa" w:w="7286"/>
            <w:vAlign w:val="center"/>
            <w:shd w:fill="FFFFFF"/>
            <w:tcMar>
              <w:top w:w="65" w:type="dxa"/>
              <w:bottom w:w="65" w:type="dxa"/>
              <w:left w:w="85" w:type="dxa"/>
              <w:right w:w="85" w:type="dxa"/>
            </w:tcMar>
          </w:tcPr>
          <w:p>
            <w:pPr>
              <w:spacing w:after="60" w:before="60" w:line="252" w:lineRule="auto"/>
            </w:pPr>
            <w:r>
              <w:rPr>
                <w:rFonts w:ascii="Arial" w:hAnsi="Arial"/>
                <w:b w:val="0"/>
                <w:color w:val="000000"/>
                <w:sz w:val="19"/>
              </w:rPr>
              <w:t>Preserve accepted Qwen raw. Prepare raw-only Llama fix and begin manuscript sections from completed evidence.</w:t>
            </w:r>
          </w:p>
        </w:tc>
        <w:tc>
          <w:tcPr>
            <w:tcW w:type="dxa" w:w="1526"/>
            <w:vAlign w:val="center"/>
            <w:shd w:fill="FFFFFF"/>
            <w:tcMar>
              <w:top w:w="65" w:type="dxa"/>
              <w:bottom w:w="65" w:type="dxa"/>
              <w:left w:w="85" w:type="dxa"/>
              <w:right w:w="85" w:type="dxa"/>
            </w:tcMar>
          </w:tcPr>
          <w:p>
            <w:pPr>
              <w:spacing w:after="60" w:before="60" w:line="252" w:lineRule="auto"/>
              <w:jc w:val="center"/>
            </w:pPr>
            <w:r>
              <w:rPr>
                <w:rFonts w:ascii="Arial" w:hAnsi="Arial"/>
                <w:b w:val="0"/>
                <w:color w:val="000000"/>
                <w:sz w:val="19"/>
              </w:rPr>
              <w:t>mac 1 / 2</w:t>
            </w:r>
          </w:p>
        </w:tc>
      </w:tr>
      <w:tr>
        <w:trPr>
          <w:cantSplit/>
        </w:trPr>
        <w:tc>
          <w:tcPr>
            <w:tcW w:type="dxa" w:w="1339"/>
            <w:vAlign w:val="center"/>
            <w:shd w:fill="F3F4F6"/>
            <w:tcMar>
              <w:top w:w="65" w:type="dxa"/>
              <w:bottom w:w="65" w:type="dxa"/>
              <w:left w:w="85" w:type="dxa"/>
              <w:right w:w="85" w:type="dxa"/>
            </w:tcMar>
          </w:tcPr>
          <w:p>
            <w:pPr>
              <w:spacing w:after="60" w:before="60" w:line="252" w:lineRule="auto"/>
              <w:jc w:val="center"/>
            </w:pPr>
            <w:r>
              <w:rPr>
                <w:rFonts w:ascii="Arial" w:hAnsi="Arial"/>
                <w:b w:val="0"/>
                <w:color w:val="000000"/>
                <w:sz w:val="19"/>
              </w:rPr>
              <w:t>Oct 4</w:t>
            </w:r>
          </w:p>
        </w:tc>
        <w:tc>
          <w:tcPr>
            <w:tcW w:type="dxa" w:w="7286"/>
            <w:vAlign w:val="center"/>
            <w:shd w:fill="F3F4F6"/>
            <w:tcMar>
              <w:top w:w="65" w:type="dxa"/>
              <w:bottom w:w="65" w:type="dxa"/>
              <w:left w:w="85" w:type="dxa"/>
              <w:right w:w="85" w:type="dxa"/>
            </w:tcMar>
          </w:tcPr>
          <w:p>
            <w:pPr>
              <w:spacing w:after="60" w:before="60" w:line="252" w:lineRule="auto"/>
            </w:pPr>
            <w:r>
              <w:rPr>
                <w:rFonts w:ascii="Arial" w:hAnsi="Arial"/>
                <w:b w:val="0"/>
                <w:color w:val="000000"/>
                <w:sz w:val="19"/>
              </w:rPr>
              <w:t>Verify Llama supplement and both-model adapter; run full bank and audit as inputs permit. Finish related-work matrix and review E runner without E inference.</w:t>
            </w:r>
          </w:p>
        </w:tc>
        <w:tc>
          <w:tcPr>
            <w:tcW w:type="dxa" w:w="1526"/>
            <w:vAlign w:val="center"/>
            <w:shd w:fill="F3F4F6"/>
            <w:tcMar>
              <w:top w:w="65" w:type="dxa"/>
              <w:bottom w:w="65" w:type="dxa"/>
              <w:left w:w="85" w:type="dxa"/>
              <w:right w:w="85" w:type="dxa"/>
            </w:tcMar>
          </w:tcPr>
          <w:p>
            <w:pPr>
              <w:spacing w:after="60" w:before="60" w:line="252" w:lineRule="auto"/>
              <w:jc w:val="center"/>
            </w:pPr>
            <w:r>
              <w:rPr>
                <w:rFonts w:ascii="Arial" w:hAnsi="Arial"/>
                <w:b w:val="0"/>
                <w:color w:val="000000"/>
                <w:sz w:val="19"/>
              </w:rPr>
              <w:t>mac 1 / 2</w:t>
            </w:r>
          </w:p>
        </w:tc>
      </w:tr>
      <w:tr>
        <w:trPr>
          <w:cantSplit/>
        </w:trPr>
        <w:tc>
          <w:tcPr>
            <w:tcW w:type="dxa" w:w="1339"/>
            <w:vAlign w:val="center"/>
            <w:shd w:fill="FFFFFF"/>
            <w:tcMar>
              <w:top w:w="65" w:type="dxa"/>
              <w:bottom w:w="65" w:type="dxa"/>
              <w:left w:w="85" w:type="dxa"/>
              <w:right w:w="85" w:type="dxa"/>
            </w:tcMar>
          </w:tcPr>
          <w:p>
            <w:pPr>
              <w:spacing w:after="60" w:before="60" w:line="252" w:lineRule="auto"/>
              <w:jc w:val="center"/>
            </w:pPr>
            <w:r>
              <w:rPr>
                <w:rFonts w:ascii="Arial" w:hAnsi="Arial"/>
                <w:b w:val="0"/>
                <w:color w:val="000000"/>
                <w:sz w:val="19"/>
              </w:rPr>
              <w:t>Oct 5</w:t>
            </w:r>
          </w:p>
        </w:tc>
        <w:tc>
          <w:tcPr>
            <w:tcW w:type="dxa" w:w="7286"/>
            <w:vAlign w:val="center"/>
            <w:shd w:fill="FFFFFF"/>
            <w:tcMar>
              <w:top w:w="65" w:type="dxa"/>
              <w:bottom w:w="65" w:type="dxa"/>
              <w:left w:w="85" w:type="dxa"/>
              <w:right w:w="85" w:type="dxa"/>
            </w:tcMar>
          </w:tcPr>
          <w:p>
            <w:pPr>
              <w:spacing w:after="60" w:before="60" w:line="252" w:lineRule="auto"/>
            </w:pPr>
            <w:r>
              <w:rPr>
                <w:rFonts w:ascii="Arial" w:hAnsi="Arial"/>
                <w:b w:val="0"/>
                <w:color w:val="000000"/>
                <w:sz w:val="19"/>
              </w:rPr>
              <w:t>Review full bank and diagnosis; choose the supported submission claim. Drop unfinished optional behavior, chat and ablation work.</w:t>
            </w:r>
          </w:p>
        </w:tc>
        <w:tc>
          <w:tcPr>
            <w:tcW w:type="dxa" w:w="1526"/>
            <w:vAlign w:val="center"/>
            <w:shd w:fill="FFFFFF"/>
            <w:tcMar>
              <w:top w:w="65" w:type="dxa"/>
              <w:bottom w:w="65" w:type="dxa"/>
              <w:left w:w="85" w:type="dxa"/>
              <w:right w:w="85" w:type="dxa"/>
            </w:tcMar>
          </w:tcPr>
          <w:p>
            <w:pPr>
              <w:spacing w:after="60" w:before="60" w:line="252" w:lineRule="auto"/>
              <w:jc w:val="center"/>
            </w:pPr>
            <w:r>
              <w:rPr>
                <w:rFonts w:ascii="Arial" w:hAnsi="Arial"/>
                <w:b w:val="0"/>
                <w:color w:val="000000"/>
                <w:sz w:val="19"/>
              </w:rPr>
              <w:t>Both</w:t>
            </w:r>
          </w:p>
        </w:tc>
      </w:tr>
      <w:tr>
        <w:trPr>
          <w:cantSplit/>
        </w:trPr>
        <w:tc>
          <w:tcPr>
            <w:tcW w:type="dxa" w:w="1339"/>
            <w:vAlign w:val="center"/>
            <w:shd w:fill="F3F4F6"/>
            <w:tcMar>
              <w:top w:w="65" w:type="dxa"/>
              <w:bottom w:w="65" w:type="dxa"/>
              <w:left w:w="85" w:type="dxa"/>
              <w:right w:w="85" w:type="dxa"/>
            </w:tcMar>
          </w:tcPr>
          <w:p>
            <w:pPr>
              <w:spacing w:after="60" w:before="60" w:line="252" w:lineRule="auto"/>
              <w:jc w:val="center"/>
            </w:pPr>
            <w:r>
              <w:rPr>
                <w:rFonts w:ascii="Arial" w:hAnsi="Arial"/>
                <w:b w:val="0"/>
                <w:color w:val="000000"/>
                <w:sz w:val="19"/>
              </w:rPr>
              <w:t>Oct 6</w:t>
            </w:r>
          </w:p>
        </w:tc>
        <w:tc>
          <w:tcPr>
            <w:tcW w:type="dxa" w:w="7286"/>
            <w:vAlign w:val="center"/>
            <w:shd w:fill="F3F4F6"/>
            <w:tcMar>
              <w:top w:w="65" w:type="dxa"/>
              <w:bottom w:w="65" w:type="dxa"/>
              <w:left w:w="85" w:type="dxa"/>
              <w:right w:w="85" w:type="dxa"/>
            </w:tcMar>
          </w:tcPr>
          <w:p>
            <w:pPr>
              <w:spacing w:after="60" w:before="60" w:line="252" w:lineRule="auto"/>
            </w:pPr>
            <w:r>
              <w:rPr>
                <w:rFonts w:ascii="Arial" w:hAnsi="Arial"/>
                <w:b w:val="0"/>
                <w:color w:val="000000"/>
                <w:sz w:val="19"/>
              </w:rPr>
              <w:t>Lock procedures, comparators, endpoints and interpretation rules. Finish E readiness review and preserve the lock before E access.</w:t>
            </w:r>
          </w:p>
        </w:tc>
        <w:tc>
          <w:tcPr>
            <w:tcW w:type="dxa" w:w="1526"/>
            <w:vAlign w:val="center"/>
            <w:shd w:fill="F3F4F6"/>
            <w:tcMar>
              <w:top w:w="65" w:type="dxa"/>
              <w:bottom w:w="65" w:type="dxa"/>
              <w:left w:w="85" w:type="dxa"/>
              <w:right w:w="85" w:type="dxa"/>
            </w:tcMar>
          </w:tcPr>
          <w:p>
            <w:pPr>
              <w:spacing w:after="60" w:before="60" w:line="252" w:lineRule="auto"/>
              <w:jc w:val="center"/>
            </w:pPr>
            <w:r>
              <w:rPr>
                <w:rFonts w:ascii="Arial" w:hAnsi="Arial"/>
                <w:b w:val="0"/>
                <w:color w:val="000000"/>
                <w:sz w:val="19"/>
              </w:rPr>
              <w:t>Both</w:t>
            </w:r>
          </w:p>
        </w:tc>
      </w:tr>
      <w:tr>
        <w:trPr>
          <w:cantSplit/>
        </w:trPr>
        <w:tc>
          <w:tcPr>
            <w:tcW w:type="dxa" w:w="1339"/>
            <w:vAlign w:val="center"/>
            <w:shd w:fill="FFFFFF"/>
            <w:tcMar>
              <w:top w:w="65" w:type="dxa"/>
              <w:bottom w:w="65" w:type="dxa"/>
              <w:left w:w="85" w:type="dxa"/>
              <w:right w:w="85" w:type="dxa"/>
            </w:tcMar>
          </w:tcPr>
          <w:p>
            <w:pPr>
              <w:spacing w:after="60" w:before="60" w:line="252" w:lineRule="auto"/>
              <w:jc w:val="center"/>
            </w:pPr>
            <w:r>
              <w:rPr>
                <w:rFonts w:ascii="Arial" w:hAnsi="Arial"/>
                <w:b w:val="0"/>
                <w:color w:val="000000"/>
                <w:sz w:val="19"/>
              </w:rPr>
              <w:t>Oct 7</w:t>
            </w:r>
          </w:p>
        </w:tc>
        <w:tc>
          <w:tcPr>
            <w:tcW w:type="dxa" w:w="7286"/>
            <w:vAlign w:val="center"/>
            <w:shd w:fill="FFFFFF"/>
            <w:tcMar>
              <w:top w:w="65" w:type="dxa"/>
              <w:bottom w:w="65" w:type="dxa"/>
              <w:left w:w="85" w:type="dxa"/>
              <w:right w:w="85" w:type="dxa"/>
            </w:tcMar>
          </w:tcPr>
          <w:p>
            <w:pPr>
              <w:spacing w:after="60" w:before="60" w:line="252" w:lineRule="auto"/>
            </w:pPr>
            <w:r>
              <w:rPr>
                <w:rFonts w:ascii="Arial" w:hAnsi="Arial"/>
                <w:b w:val="0"/>
                <w:color w:val="000000"/>
                <w:sz w:val="19"/>
              </w:rPr>
              <w:t>Complete locked E extraction, evaluation and audit. Report confirmation, limits or contradiction without D/E-driven redesign.</w:t>
            </w:r>
          </w:p>
        </w:tc>
        <w:tc>
          <w:tcPr>
            <w:tcW w:type="dxa" w:w="1526"/>
            <w:vAlign w:val="center"/>
            <w:shd w:fill="FFFFFF"/>
            <w:tcMar>
              <w:top w:w="65" w:type="dxa"/>
              <w:bottom w:w="65" w:type="dxa"/>
              <w:left w:w="85" w:type="dxa"/>
              <w:right w:w="85" w:type="dxa"/>
            </w:tcMar>
          </w:tcPr>
          <w:p>
            <w:pPr>
              <w:spacing w:after="60" w:before="60" w:line="252" w:lineRule="auto"/>
              <w:jc w:val="center"/>
            </w:pPr>
            <w:r>
              <w:rPr>
                <w:rFonts w:ascii="Arial" w:hAnsi="Arial"/>
                <w:b w:val="0"/>
                <w:color w:val="000000"/>
                <w:sz w:val="19"/>
              </w:rPr>
              <w:t>Both</w:t>
            </w:r>
          </w:p>
        </w:tc>
      </w:tr>
      <w:tr>
        <w:trPr>
          <w:cantSplit/>
        </w:trPr>
        <w:tc>
          <w:tcPr>
            <w:tcW w:type="dxa" w:w="1339"/>
            <w:vAlign w:val="center"/>
            <w:shd w:fill="F3F4F6"/>
            <w:tcMar>
              <w:top w:w="65" w:type="dxa"/>
              <w:bottom w:w="65" w:type="dxa"/>
              <w:left w:w="85" w:type="dxa"/>
              <w:right w:w="85" w:type="dxa"/>
            </w:tcMar>
          </w:tcPr>
          <w:p>
            <w:pPr>
              <w:spacing w:after="60" w:before="60" w:line="252" w:lineRule="auto"/>
              <w:jc w:val="center"/>
            </w:pPr>
            <w:r>
              <w:rPr>
                <w:rFonts w:ascii="Arial" w:hAnsi="Arial"/>
                <w:b w:val="0"/>
                <w:color w:val="000000"/>
                <w:sz w:val="19"/>
              </w:rPr>
              <w:t>Oct 8</w:t>
            </w:r>
          </w:p>
        </w:tc>
        <w:tc>
          <w:tcPr>
            <w:tcW w:type="dxa" w:w="7286"/>
            <w:vAlign w:val="center"/>
            <w:shd w:fill="F3F4F6"/>
            <w:tcMar>
              <w:top w:w="65" w:type="dxa"/>
              <w:bottom w:w="65" w:type="dxa"/>
              <w:left w:w="85" w:type="dxa"/>
              <w:right w:w="85" w:type="dxa"/>
            </w:tcMar>
          </w:tcPr>
          <w:p>
            <w:pPr>
              <w:spacing w:after="60" w:before="60" w:line="252" w:lineRule="auto"/>
            </w:pPr>
            <w:r>
              <w:rPr>
                <w:rFonts w:ascii="Arial" w:hAnsi="Arial"/>
                <w:b w:val="0"/>
                <w:color w:val="000000"/>
                <w:sz w:val="19"/>
              </w:rPr>
              <w:t>Complete the manuscript for substantive mentor review, including E results and limitations.</w:t>
            </w:r>
          </w:p>
        </w:tc>
        <w:tc>
          <w:tcPr>
            <w:tcW w:type="dxa" w:w="1526"/>
            <w:vAlign w:val="center"/>
            <w:shd w:fill="F3F4F6"/>
            <w:tcMar>
              <w:top w:w="65" w:type="dxa"/>
              <w:bottom w:w="65" w:type="dxa"/>
              <w:left w:w="85" w:type="dxa"/>
              <w:right w:w="85" w:type="dxa"/>
            </w:tcMar>
          </w:tcPr>
          <w:p>
            <w:pPr>
              <w:spacing w:after="60" w:before="60" w:line="252" w:lineRule="auto"/>
              <w:jc w:val="center"/>
            </w:pPr>
            <w:r>
              <w:rPr>
                <w:rFonts w:ascii="Arial" w:hAnsi="Arial"/>
                <w:b w:val="0"/>
                <w:color w:val="000000"/>
                <w:sz w:val="19"/>
              </w:rPr>
              <w:t>Both</w:t>
            </w:r>
          </w:p>
        </w:tc>
      </w:tr>
      <w:tr>
        <w:trPr>
          <w:cantSplit/>
        </w:trPr>
        <w:tc>
          <w:tcPr>
            <w:tcW w:type="dxa" w:w="1339"/>
            <w:vAlign w:val="center"/>
            <w:shd w:fill="FFFFFF"/>
            <w:tcMar>
              <w:top w:w="65" w:type="dxa"/>
              <w:bottom w:w="65" w:type="dxa"/>
              <w:left w:w="85" w:type="dxa"/>
              <w:right w:w="85" w:type="dxa"/>
            </w:tcMar>
          </w:tcPr>
          <w:p>
            <w:pPr>
              <w:spacing w:after="60" w:before="60" w:line="252" w:lineRule="auto"/>
              <w:jc w:val="center"/>
            </w:pPr>
            <w:r>
              <w:rPr>
                <w:rFonts w:ascii="Arial" w:hAnsi="Arial"/>
                <w:b w:val="0"/>
                <w:color w:val="000000"/>
                <w:sz w:val="19"/>
              </w:rPr>
              <w:t>Oct 9 to 11</w:t>
            </w:r>
          </w:p>
        </w:tc>
        <w:tc>
          <w:tcPr>
            <w:tcW w:type="dxa" w:w="7286"/>
            <w:vAlign w:val="center"/>
            <w:shd w:fill="FFFFFF"/>
            <w:tcMar>
              <w:top w:w="65" w:type="dxa"/>
              <w:bottom w:w="65" w:type="dxa"/>
              <w:left w:w="85" w:type="dxa"/>
              <w:right w:w="85" w:type="dxa"/>
            </w:tcMar>
          </w:tcPr>
          <w:p>
            <w:pPr>
              <w:spacing w:after="60" w:before="60" w:line="252" w:lineRule="auto"/>
            </w:pPr>
            <w:r>
              <w:rPr>
                <w:rFonts w:ascii="Arial" w:hAnsi="Arial"/>
                <w:b w:val="0"/>
                <w:color w:val="000000"/>
                <w:sz w:val="19"/>
              </w:rPr>
              <w:t>Revise writing and figures; verify claims, references, reproducibility, anonymization and applicable venue requirements.</w:t>
            </w:r>
          </w:p>
        </w:tc>
        <w:tc>
          <w:tcPr>
            <w:tcW w:type="dxa" w:w="1526"/>
            <w:vAlign w:val="center"/>
            <w:shd w:fill="FFFFFF"/>
            <w:tcMar>
              <w:top w:w="65" w:type="dxa"/>
              <w:bottom w:w="65" w:type="dxa"/>
              <w:left w:w="85" w:type="dxa"/>
              <w:right w:w="85" w:type="dxa"/>
            </w:tcMar>
          </w:tcPr>
          <w:p>
            <w:pPr>
              <w:spacing w:after="60" w:before="60" w:line="252" w:lineRule="auto"/>
              <w:jc w:val="center"/>
            </w:pPr>
            <w:r>
              <w:rPr>
                <w:rFonts w:ascii="Arial" w:hAnsi="Arial"/>
                <w:b w:val="0"/>
                <w:color w:val="000000"/>
                <w:sz w:val="19"/>
              </w:rPr>
              <w:t>Both</w:t>
            </w:r>
          </w:p>
        </w:tc>
      </w:tr>
    </w:tbl>
    <w:p>
      <w:pPr>
        <w:spacing w:after="0"/>
      </w:pPr>
      <w:r/>
    </w:p>
    <w:p>
      <w:commentRangeStart w:id="5"/>
      <w:r>
        <w:t>Drop unfinished optional work at the October 5 claim review. If the full-bank result is still blocked, record the failure and affected claim explicitly; do not call the bank complete or quietly extend optional work. Continue writing. A core validity or E-readiness blocker requires an explicit schedule revision; the calendar never overrides integrity checks. The default order is missing raw, full bank and audit, optional behavior, then optional chat.</w:t>
      </w:r>
      <w:commentRangeEnd w:id="5"/>
      <w:r>
        <w:rPr>
          <w:rStyle w:val="CommentReference"/>
        </w:rPr>
        <w:commentReference w:id="5"/>
      </w:r>
    </w:p>
    <w:p>
      <w:pPr>
        <w:pStyle w:val="Heading2"/>
        <w:pageBreakBefore/>
      </w:pPr>
      <w:r>
        <w:t>Execution and handoff requirements</w:t>
      </w:r>
    </w:p>
    <w:p>
      <w:r>
        <w:t>Use isolated worktrees and exact reviewed SHAs. The published integration delivery is fc083594dc17d1fc38f7b52dd8030b0a7f2cb67d; full-bank preparation is 98ec4004168c2bc5d1906ce1d7cf95a93dde759f. Fetch when needed; do not pull a moving branch into an active run. Preserve earlier worktrees and the 13 unrelated files. Git publication is working again, and does not itself approve execution.</w:t>
      </w:r>
    </w:p>
    <w:p>
      <w:r>
        <w:t>mac 1 first prepares the raw-only successor and preserves Qwen’s accepted supplement and failed preflight evidence. mac 2 then binds each actual extraction producer explicitly in the CPU adapter. Do not require Llama to claim Qwen’s old producer. Keep the approved Revision 2 bytes and frozen experiment manifests unchanged; register this successor as a planning amendment before new execution.</w:t>
      </w:r>
    </w:p>
    <w:p>
      <w:pPr>
        <w:pStyle w:val="Heading2"/>
      </w:pPr>
      <w:r>
        <w:t>Runtime limits and optional work</w:t>
      </w:r>
    </w:p>
    <w:p>
      <w:r>
        <w:t>Keep the existing three-hour full-bank CPU worker cap and shared two active GPU hours per model, with 30 minutes per non-model setup phase. Reported remaining GPU time is 7,039.16 seconds for Qwen and 7,158.84 for Llama; durable ledgers govern exact charges. Budgets do not reset with a successor. Raw-only work requires its own runtime, storage and token checks, not behavior likelihood or generation preflight.</w:t>
      </w:r>
    </w:p>
    <w:p>
      <w:r>
        <w:t>Use the accepted batch-1 unpadded fresh runtime and pinned offline snapshots. A hash/binding mismatch, missing coverage, optimizer failure, quota failure or cap hit stops the affected task. Before optional behavior/chat execution, fix and pass the existing numerical and token checks, measure the workload, and confirm it can finish and be reviewed without moving the lock. No tolerance relaxation, automatic sample expansion or prompt search.</w:t>
      </w:r>
    </w:p>
    <w:p>
      <w:r>
        <w:rPr>
          <w:sz w:val="18"/>
        </w:rPr>
        <w:t>The Pod can remain stopped during local preparation. Later GPU instructions must specify the current connection, exact producer, raw-only scope, verification, transfer and stop procedure. No GPU task launches from this document alone. Serialize heavy CPU fitting and audits on the one physical Mac; writing can overlap. Begin E runner review and synthetic/data-binding checks by October 4, without E activations, predictions or metrics.</w:t>
      </w:r>
    </w:p>
    <w:p>
      <w:pPr>
        <w:pStyle w:val="Heading1"/>
        <w:pageBreakBefore/>
        <w:spacing w:after="80"/>
      </w:pPr>
      <w:r>
        <w:t>6 Choose the submission claim and stop adding experiments</w:t>
      </w:r>
    </w:p>
    <w:p>
      <w:pPr>
        <w:spacing w:after="80"/>
      </w:pPr>
      <w:commentRangeStart w:id="6"/>
      <w:r>
        <w:t>Review the full-bank comparison and completed diagnosis on October 5. Choose the supported submission claim, identify its limitations and drop unfinished optional panels. Behavior/chat are not completion conditions for a readout-adaptation claim. The default next step is the October 6 lock, followed by E, rather than another explanatory experiment.</w:t>
      </w:r>
      <w:commentRangeEnd w:id="6"/>
      <w:r>
        <w:rPr>
          <w:rStyle w:val="CommentReference"/>
        </w:rPr>
        <w:commentReference w:id="6"/>
      </w:r>
    </w:p>
    <w:p>
      <w:pPr>
        <w:pStyle w:val="Heading2"/>
        <w:spacing w:after="80"/>
      </w:pPr>
      <w:r>
        <w:t>Interpret the full training and score results</w:t>
      </w:r>
    </w:p>
    <w:p>
      <w:pPr>
        <w:spacing w:after="80"/>
      </w:pPr>
      <w:r>
        <w:t>Use the retained .02 development margin, separately by model at pooled and macro scope. “Reaches current repair” means the upper paired bound on R_all minus the comparator is below .02 with supported atomic/AND retention. A robust gap has a lower bound above .02. Crossing bounds remain unresolved; these are pointwise criteria, not equality or simultaneous guarantees.</w:t>
      </w:r>
    </w:p>
    <w:tbl>
      <w:tblPr>
        <w:tblW w:type="auto" w:w="0"/>
        <w:jc w:val="center"/>
        <w:tblLayout w:type="fixed"/>
        <w:tblLook w:firstColumn="1" w:firstRow="1" w:lastColumn="0" w:lastRow="0" w:noHBand="0" w:noVBand="1" w:val="04A0"/>
      </w:tblPr>
      <w:tblGrid>
        <w:gridCol w:w="4680"/>
        <w:gridCol w:w="5472"/>
      </w:tblGrid>
      <w:tr>
        <w:trPr>
          <w:cantSplit/>
          <w:tblHeader/>
        </w:trPr>
        <w:tc>
          <w:tcPr>
            <w:tcW w:type="dxa" w:w="468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left"/>
            </w:pPr>
            <w:r>
              <w:rPr>
                <w:b/>
                <w:color w:val="FFFFFF"/>
                <w:sz w:val="18"/>
              </w:rPr>
              <w:t>Observed pattern</w:t>
            </w:r>
          </w:p>
        </w:tc>
        <w:tc>
          <w:tcPr>
            <w:tcW w:type="dxa" w:w="547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b/>
                <w:color w:val="FFFFFF"/>
                <w:sz w:val="18"/>
              </w:rPr>
              <w:t>Decision it supports</w:t>
            </w:r>
          </w:p>
        </w:tc>
      </w:tr>
      <w:tr>
        <w:trPr>
          <w:cantSplit/>
        </w:trPr>
        <w:tc>
          <w:tcPr>
            <w:tcW w:type="dxa" w:w="468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8"/>
              </w:rPr>
              <w:t>S_atom_full reaches current R_all</w:t>
            </w:r>
          </w:p>
        </w:tc>
        <w:tc>
          <w:tcPr>
            <w:tcW w:type="dxa" w:w="547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8"/>
              </w:rPr>
              <w:t>The tested full-training atomic-only selector reaches the existing reduced-P repair performance on D</w:t>
            </w:r>
          </w:p>
        </w:tc>
      </w:tr>
      <w:tr>
        <w:trPr>
          <w:cantSplit/>
        </w:trPr>
        <w:tc>
          <w:tcPr>
            <w:tcW w:type="dxa" w:w="468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8"/>
              </w:rPr>
              <w:t>S_full reaches R_all; S_atom_full has a robust gap</w:t>
            </w:r>
          </w:p>
        </w:tc>
        <w:tc>
          <w:tcPr>
            <w:tcW w:type="dxa" w:w="547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8"/>
              </w:rPr>
              <w:t>Compound labels help choose the readout if the direct selector contrast also supports improvement</w:t>
            </w:r>
          </w:p>
        </w:tc>
      </w:tr>
      <w:tr>
        <w:trPr>
          <w:cantSplit/>
        </w:trPr>
        <w:tc>
          <w:tcPr>
            <w:tcW w:type="dxa" w:w="468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8"/>
              </w:rPr>
              <w:t>Frozen R_all remains ahead of both full-bank selectors</w:t>
            </w:r>
          </w:p>
        </w:tc>
        <w:tc>
          <w:tcPr>
            <w:tcW w:type="dxa" w:w="547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8"/>
              </w:rPr>
              <w:t>Learning the readout retains an advantage against these stronger training comparators</w:t>
            </w:r>
          </w:p>
        </w:tc>
      </w:tr>
      <w:tr>
        <w:trPr>
          <w:cantSplit/>
        </w:trPr>
        <w:tc>
          <w:tcPr>
            <w:tcW w:type="dxa" w:w="468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8"/>
              </w:rPr>
              <w:t>Full-bank oracle approaches R_all but selectors trail</w:t>
            </w:r>
          </w:p>
        </w:tc>
        <w:tc>
          <w:tcPr>
            <w:tcW w:type="dxa" w:w="547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8"/>
              </w:rPr>
              <w:t>Available bank headroom and practical selection differ; the oracle is descriptive</w:t>
            </w:r>
          </w:p>
        </w:tc>
      </w:tr>
    </w:tbl>
    <w:p>
      <w:pPr>
        <w:spacing w:after="80"/>
      </w:pPr>
      <w:r/>
    </w:p>
    <w:p>
      <w:pPr>
        <w:spacing w:after="80"/>
      </w:pPr>
      <w:r>
        <w:rPr>
          <w:sz w:val="18"/>
        </w:rPr>
        <w:t>Selection-label benefit also requires a positive lower bound for paired S_full minus S_atom_full. Full-training repair is not fitted; no comparison establishes its value. S_full uses compound labels, so reaching R_all cannot show they are unnecessary. A near comparator alone does not satisfy the older complete sufficiency rule. Narrow model/topic-dependent conclusions.</w:t>
      </w:r>
    </w:p>
    <w:p>
      <w:pPr>
        <w:pStyle w:val="Heading2"/>
        <w:spacing w:after="80"/>
      </w:pPr>
      <w:r>
        <w:t>Interpret behavior only if valid results are available</w:t>
      </w:r>
    </w:p>
    <w:p>
      <w:pPr>
        <w:spacing w:after="80"/>
      </w:pPr>
      <w:r>
        <w:t>If valid behavior is available, retain separate likelihood and generation descriptions: mixed-cell OR accuracy below .80 under both prompts is poor; at least .90 in every OR cell under both is strong. Show TF/FT and uncertainty. Valid-answer disagreement above 10 percent or format failure above 5 percent limits interpretation. Uncertain 50-pair results are acceptable and do not trigger more samples, prompts or causal work. Preserve partial work and omit unsupported claims. [4]</w:t>
      </w:r>
    </w:p>
    <w:tbl>
      <w:tblPr>
        <w:tblW w:type="auto" w:w="0"/>
        <w:jc w:val="center"/>
        <w:tblLayout w:type="fixed"/>
        <w:tblLook w:firstColumn="1" w:firstRow="1" w:lastColumn="0" w:lastRow="0" w:noHBand="0" w:noVBand="1" w:val="04A0"/>
      </w:tblPr>
      <w:tblGrid>
        <w:gridCol w:w="3960"/>
        <w:gridCol w:w="6192"/>
      </w:tblGrid>
      <w:tr>
        <w:trPr>
          <w:cantSplit/>
          <w:tblHeader/>
        </w:trPr>
        <w:tc>
          <w:tcPr>
            <w:tcW w:type="dxa" w:w="39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left"/>
            </w:pPr>
            <w:r>
              <w:rPr>
                <w:b/>
                <w:color w:val="FFFFFF"/>
                <w:sz w:val="18"/>
              </w:rPr>
              <w:t>Behavior pattern</w:t>
            </w:r>
          </w:p>
        </w:tc>
        <w:tc>
          <w:tcPr>
            <w:tcW w:type="dxa" w:w="61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color w:val="FFFFFF"/>
                <w:sz w:val="18"/>
              </w:rPr>
              <w:t>Permitted interpretation if completed</w:t>
            </w:r>
          </w:p>
        </w:tc>
      </w:tr>
      <w:tr>
        <w:trPr>
          <w:cantSplit/>
        </w:trPr>
        <w:tc>
          <w:tcPr>
            <w:tcW w:type="dxa" w:w="39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8"/>
              </w:rPr>
              <w:t>Strong isolated and compound judgments</w:t>
            </w:r>
          </w:p>
        </w:tc>
        <w:tc>
          <w:tcPr>
            <w:tcW w:type="dxa" w:w="61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color w:val="000000"/>
                <w:sz w:val="18"/>
              </w:rPr>
              <w:t>The tested probes and successful judgments differ; no causal-use conclusion follows.</w:t>
            </w:r>
          </w:p>
        </w:tc>
      </w:tr>
      <w:tr>
        <w:trPr>
          <w:cantSplit/>
        </w:trPr>
        <w:tc>
          <w:tcPr>
            <w:tcW w:type="dxa" w:w="39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8"/>
              </w:rPr>
              <w:t>Strong isolated judgments but weak compounds</w:t>
            </w:r>
          </w:p>
        </w:tc>
        <w:tc>
          <w:tcPr>
            <w:tcW w:type="dxa" w:w="61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color w:val="000000"/>
                <w:sz w:val="18"/>
              </w:rPr>
              <w:t>Compound judgments are weaker on this support. A failure-to-use claim still lacks prompted constituent evidence.</w:t>
            </w:r>
          </w:p>
        </w:tc>
      </w:tr>
      <w:tr>
        <w:trPr>
          <w:cantSplit/>
        </w:trPr>
        <w:tc>
          <w:tcPr>
            <w:tcW w:type="dxa" w:w="39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8"/>
              </w:rPr>
              <w:t>Weak isolated judgments</w:t>
            </w:r>
          </w:p>
        </w:tc>
        <w:tc>
          <w:tcPr>
            <w:tcW w:type="dxa" w:w="61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color w:val="000000"/>
                <w:sz w:val="18"/>
              </w:rPr>
              <w:t>Knowledge or elicitation remains an alternative; do not attribute errors to composition alone.</w:t>
            </w:r>
          </w:p>
        </w:tc>
      </w:tr>
      <w:tr>
        <w:trPr>
          <w:cantSplit/>
        </w:trPr>
        <w:tc>
          <w:tcPr>
            <w:tcW w:type="dxa" w:w="39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8"/>
              </w:rPr>
              <w:t>Strong output-margin AUROC but weak forced-choice accuracy</w:t>
            </w:r>
          </w:p>
        </w:tc>
        <w:tc>
          <w:tcPr>
            <w:tcW w:type="dxa" w:w="61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color w:val="000000"/>
                <w:sz w:val="18"/>
              </w:rPr>
              <w:t>Answer bias or threshold dependence limits the interpretation; do not fit a D threshold.</w:t>
            </w:r>
          </w:p>
        </w:tc>
      </w:tr>
      <w:tr>
        <w:trPr>
          <w:cantSplit/>
        </w:trPr>
        <w:tc>
          <w:tcPr>
            <w:tcW w:type="dxa" w:w="39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8"/>
              </w:rPr>
              <w:t>Large prompt or answer-format dependence</w:t>
            </w:r>
          </w:p>
        </w:tc>
        <w:tc>
          <w:tcPr>
            <w:tcW w:type="dxa" w:w="61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color w:val="000000"/>
                <w:sz w:val="18"/>
              </w:rPr>
              <w:t>Report the dependence and narrow the claim. No automatic expansion of prompts or measurements.</w:t>
            </w:r>
          </w:p>
        </w:tc>
      </w:tr>
    </w:tbl>
    <w:p>
      <w:pPr>
        <w:spacing w:after="80"/>
      </w:pPr>
      <w:r/>
    </w:p>
    <w:p>
      <w:pPr>
        <w:pStyle w:val="Heading1"/>
        <w:pageBreakBefore/>
      </w:pPr>
      <w:r>
        <w:t>7 Lock the procedures and complete final evaluation</w:t>
      </w:r>
    </w:p>
    <w:p>
      <w:pPr>
        <w:pStyle w:val="Heading2"/>
      </w:pPr>
      <w:r>
        <w:t>Required packet for the claim review</w:t>
      </w:r>
    </w:p>
    <w:p>
      <w:pPr>
        <w:pStyle w:val="ListBullet"/>
      </w:pPr>
      <w:r>
        <w:t>A short synthesis stating whether current repair remains ahead under the full atomic-training procedure, what the completed wording diagnosis establishes, the chosen central claim and the limitations that remain.</w:t>
      </w:r>
    </w:p>
    <w:p>
      <w:pPr>
        <w:pStyle w:val="ListBullet"/>
      </w:pPr>
      <w:r>
        <w:t>The completed saved-score report and its decomposition, within-topic and macro summaries, matched wording deltas, confusion counts and composition diagnostics. Reuse the reviewed delivery; no rerun is required.</w:t>
      </w:r>
    </w:p>
    <w:p>
      <w:pPr>
        <w:pStyle w:val="ListBullet"/>
      </w:pPr>
      <w:r>
        <w:t>The full-bank inventory, exposure and provenance hashes, all 600 candidate statuses, frozen selectors, required paired contrasts, retention and wording results, and independent audit. No silent exclusion of failed methods.</w:t>
      </w:r>
    </w:p>
    <w:p>
      <w:pPr>
        <w:pStyle w:val="ListBullet"/>
      </w:pPr>
      <w:r>
        <w:t>An optional-work status list. Include valid completed behavior/chat on matched 50-pair support if available; otherwise mark them deferred or blocked. Their absence narrows behavioral claims and does not block the core packet.</w:t>
      </w:r>
    </w:p>
    <w:p>
      <w:pPr>
        <w:pStyle w:val="ListBullet"/>
      </w:pPr>
      <w:r>
        <w:t>The fixed-layer deletion-ablation result if its specific R_fixed claim is retained; otherwise record it as deferred and omit the claim that the atomic-loss term specifically causes retention.</w:t>
      </w:r>
    </w:p>
    <w:p>
      <w:pPr>
        <w:pStyle w:val="ListBullet"/>
      </w:pPr>
      <w:r>
        <w:t>The one-page related-work matrix, a draft of the completed methods/results, exact code and artifact hashes, actual resources, and an explicit list of any unresolved label or shortcut concern that could affect the chosen claim.</w:t>
      </w:r>
    </w:p>
    <w:p>
      <w:pPr>
        <w:pStyle w:val="Heading2"/>
      </w:pPr>
      <w:r>
        <w:t>Record the claim and its fixed analysis</w:t>
      </w:r>
    </w:p>
    <w:p>
      <w:r>
        <w:t>By October 6, record the claim, exact trained heads and procedures, comparator set, all three samples, endpoints, wordings, inclusion/exclusion rules, margins, paired uncertainty, aggregation and failure policy. Keep original B25 and constituent results visible. State optional panels omitted. Do not choose a best seed, prompt or topic after inspection. No new experiment follows by default.</w:t>
      </w:r>
    </w:p>
    <w:p>
      <w:commentRangeStart w:id="7"/>
      <w:r>
        <w:t>An exception must pass all three conditions: it could invalidate or materially change the central claim; existing evidence cannot resolve it; and it can finish with review before the fixed lock. Give its exact question, exposure, endpoints, cap and stopping rule. If it cannot fit, narrow the claim. A specific validity concern affecting the locked evidence must be resolved or transparently stop the affected conclusion; do not launch a broad new audit by default.</w:t>
      </w:r>
      <w:commentRangeEnd w:id="7"/>
      <w:r>
        <w:rPr>
          <w:rStyle w:val="CommentReference"/>
        </w:rPr>
        <w:commentReference w:id="7"/>
      </w:r>
    </w:p>
    <w:p>
      <w:pPr>
        <w:pStyle w:val="Heading2"/>
        <w:pageBreakBefore/>
      </w:pPr>
      <w:r>
        <w:t>Final E target is October 7</w:t>
      </w:r>
    </w:p>
    <w:p>
      <w:r>
        <w:t>Keep E activations, predictions and metrics closed until the lock. Before launch, verify the reviewed E adapter, pinned representation contract, exact coverage, resource forecast and final report code on synthetic/development fixtures. Apply frozen procedures to E without selection, calibration or refitting. Audit coverage, bindings and metric reconstruction before interpreting the result. A technical failure is not permission to change scientific rules after seeing E.</w:t>
      </w:r>
    </w:p>
    <w:p>
      <w:pPr/>
      <w:r>
        <w:t>The prepared E support has 225 completed entity fact pairs, 450 compound pairs and 7,200 dependent bare rows; admitted atomic E has 974 rows. Inventor coverage is limited. Freeze the actual evaluated subsets and aggregation before access, account for shared entities in uncertainty, and report null or contrary findings. E tests the locked claim; it does not choose a new procedure.</w:t>
      </w:r>
    </w:p>
    <w:p>
      <w:pPr/>
      <w:r>
        <w:t>By October 8, deliver a complete draft for substantive review. Most introduction, methods, related work and existing D results can be written now. Mark development estimates, optimistic D-selected references and unresolved historical compatibility explicitly; do not silently combine historical and fresh protocols.</w:t>
      </w:r>
    </w:p>
    <w:p>
      <w:pPr>
        <w:pStyle w:val="Heading2"/>
      </w:pPr>
      <w:r>
        <w:t>Evidence and source anchors</w:t>
      </w:r>
    </w:p>
    <w:p>
      <w:r>
        <w:rPr>
          <w:sz w:val="18"/>
        </w:rPr>
        <w:t>Revision 3 incorporates the October 3 feedback on priorities, dates and stopping conditions. Scientific definitions and completed findings remain intact. References [6] through [8] record current deliveries. Execution status here reflects the verified Mac handoff reports; the failed preflight contains no completed behavioral research result. Preserve earlier document bytes and execution evidence.</w:t>
      </w:r>
    </w:p>
    <w:p>
      <w:pPr>
        <w:spacing w:after="100"/>
      </w:pPr>
      <w:hyperlink r:id="rId10">
        <w:r>
          <w:rPr>
            <w:color w:val="174F78"/>
            <w:sz w:val="19"/>
          </w:rPr>
          <w:t>[1] Completed B25 report and controlled comparisons</w:t>
        </w:r>
      </w:hyperlink>
    </w:p>
    <w:p>
      <w:pPr>
        <w:spacing w:after="100"/>
      </w:pPr>
      <w:hyperlink r:id="rId11">
        <w:r>
          <w:rPr>
            <w:color w:val="174F78"/>
            <w:sz w:val="19"/>
          </w:rPr>
          <w:t>[2] B25 metrics including wording and topic results</w:t>
        </w:r>
      </w:hyperlink>
    </w:p>
    <w:p>
      <w:pPr>
        <w:spacing w:after="100"/>
      </w:pPr>
      <w:hyperlink r:id="rId12">
        <w:r>
          <w:rPr>
            <w:color w:val="174F78"/>
            <w:sz w:val="19"/>
          </w:rPr>
          <w:t>[2a] Paired contrasts and retention</w:t>
        </w:r>
      </w:hyperlink>
    </w:p>
    <w:p>
      <w:pPr>
        <w:spacing w:after="100"/>
      </w:pPr>
      <w:hyperlink r:id="rId13">
        <w:r>
          <w:rPr>
            <w:color w:val="174F78"/>
            <w:sz w:val="19"/>
          </w:rPr>
          <w:t>[2b] Complete atomic bank metrics</w:t>
        </w:r>
      </w:hyperlink>
    </w:p>
    <w:p>
      <w:pPr>
        <w:spacing w:after="100"/>
      </w:pPr>
      <w:hyperlink r:id="rId14">
        <w:r>
          <w:rPr>
            <w:color w:val="174F78"/>
            <w:sz w:val="19"/>
          </w:rPr>
          <w:t>[3] Constituent transfer and fixed decision report</w:t>
        </w:r>
      </w:hyperlink>
    </w:p>
    <w:p>
      <w:pPr>
        <w:spacing w:after="100"/>
      </w:pPr>
      <w:hyperlink r:id="rId15">
        <w:r>
          <w:rPr>
            <w:color w:val="174F78"/>
            <w:sz w:val="19"/>
          </w:rPr>
          <w:t>[4] Frozen scientific protocol and behavior definitions</w:t>
        </w:r>
      </w:hyperlink>
    </w:p>
    <w:p>
      <w:pPr>
        <w:spacing w:after="100"/>
      </w:pPr>
      <w:hyperlink r:id="rId16">
        <w:r>
          <w:rPr>
            <w:color w:val="174F78"/>
            <w:sz w:val="19"/>
          </w:rPr>
          <w:t>[5] Approved checkpoint narrative with behavior and chat scope</w:t>
        </w:r>
      </w:hyperlink>
    </w:p>
    <w:p>
      <w:pPr>
        <w:spacing w:after="80"/>
      </w:pPr>
      <w:hyperlink r:id="rId17">
        <w:r>
          <w:rPr>
            <w:color w:val="245578"/>
            <w:sz w:val="18"/>
          </w:rPr>
          <w:t>[6] Completed saved-score diagnosis and missing-input inventory</w:t>
        </w:r>
      </w:hyperlink>
    </w:p>
    <w:p>
      <w:pPr>
        <w:spacing w:after="80"/>
      </w:pPr>
      <w:hyperlink r:id="rId18">
        <w:r>
          <w:rPr>
            <w:color w:val="245578"/>
            <w:sz w:val="18"/>
          </w:rPr>
          <w:t>[7] Published integration preparation and frozen producer</w:t>
        </w:r>
      </w:hyperlink>
    </w:p>
    <w:p>
      <w:pPr>
        <w:spacing w:after="80"/>
      </w:pPr>
      <w:hyperlink r:id="rId19">
        <w:r>
          <w:rPr>
            <w:color w:val="245578"/>
            <w:sz w:val="18"/>
          </w:rPr>
          <w:t>[8] Full-bank preparation and remaining acceptance dependency</w:t>
        </w:r>
      </w:hyperlink>
    </w:p>
    <w:p>
      <w:r>
        <w:rPr>
          <w:sz w:val="18"/>
        </w:rPr>
        <w:t>Source [4] contains historical setup fields. Use frozen scientific definitions with reviewed successor runtime, tie-rule and optimizer contracts. Revision 2 remains the provenance source for existing code; adopting this schedule does not rewrite its hashes or retrospectively authorize any run.</w:t>
      </w:r>
    </w:p>
    <w:sectPr w:rsidR="00FC693F" w:rsidRPr="0006063C" w:rsidSect="00034616">
      <w:footerReference w:type="default" r:id="rId9"/>
      <w:headerReference w:type="default" r:id="rId21"/>
      <w:pgSz w:w="12240" w:h="15840"/>
      <w:pgMar w:top="936" w:right="1037" w:bottom="936" w:left="1037" w:header="720" w:footer="403"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sion 3 review" w:initials="R3" w:date="2026-10-03T23:34:26Z">
    <w:p>
      <w:pPr>
        <w:pStyle w:val="CommentText"/>
      </w:pPr>
      <w:r>
        <w:rPr>
          <w:rStyle w:val="CommentReference"/>
        </w:rPr>
        <w:annotationRef/>
      </w:r>
      <w:r>
        <w:t>Revision 3 changes the checkpoint from open-ended direction selection to a dated submission-claim and analysis lock.</w:t>
      </w:r>
    </w:p>
  </w:comment>
  <w:comment w:id="1" w:author="Revision 3 review" w:initials="R3" w:date="2026-10-03T23:34:26Z">
    <w:p>
      <w:pPr>
        <w:pStyle w:val="CommentText"/>
      </w:pPr>
      <w:r>
        <w:rPr>
          <w:rStyle w:val="CommentReference"/>
        </w:rPr>
        <w:annotationRef/>
      </w:r>
      <w:r>
        <w:t>Saved-score diagnosis is complete. The detailed conventions below are retained as methods and interpretation, not an outstanding workstream.</w:t>
      </w:r>
    </w:p>
  </w:comment>
  <w:comment w:id="2" w:author="Revision 3 review" w:initials="R3" w:date="2026-10-03T23:34:26Z">
    <w:p>
      <w:pPr>
        <w:pStyle w:val="CommentText"/>
      </w:pPr>
      <w:r>
        <w:rPr>
          <w:rStyle w:val="CommentReference"/>
        </w:rPr>
        <w:annotationRef/>
      </w:r>
      <w:r>
        <w:t>Behavior and chat are optional for the central readout-adaptation claim. Their scientific definitions remain unchanged if executed.</w:t>
      </w:r>
    </w:p>
  </w:comment>
  <w:comment w:id="3" w:author="Revision 3 review" w:initials="R3" w:date="2026-10-03T23:34:26Z">
    <w:p>
      <w:pPr>
        <w:pStyle w:val="CommentText"/>
      </w:pPr>
      <w:r>
        <w:rPr>
          <w:rStyle w:val="CommentReference"/>
        </w:rPr>
        <w:annotationRef/>
      </w:r>
      <w:r>
        <w:t>The experiment changes exposure, preprocessing and sampling together, so this question does not isolate the effect of withholding A15.</w:t>
      </w:r>
    </w:p>
  </w:comment>
  <w:comment w:id="4" w:author="Revision 3 review" w:initials="R3" w:date="2026-10-03T23:34:26Z">
    <w:p>
      <w:pPr>
        <w:pStyle w:val="CommentText"/>
      </w:pPr>
      <w:r>
        <w:rPr>
          <w:rStyle w:val="CommentReference"/>
        </w:rPr>
        <w:annotationRef/>
      </w:r>
      <w:r>
        <w:t>The matched deletion ablation supports only fixed-layer R_fixed conclusions; it does not automatically explain R_all retention.</w:t>
      </w:r>
    </w:p>
  </w:comment>
  <w:comment w:id="5" w:author="Revision 3 review" w:initials="R3" w:date="2026-10-03T23:34:26Z">
    <w:p>
      <w:pPr>
        <w:pStyle w:val="CommentText"/>
      </w:pPr>
      <w:r>
        <w:rPr>
          <w:rStyle w:val="CommentReference"/>
        </w:rPr>
        <w:annotationRef/>
      </w:r>
      <w:r>
        <w:t>Dates are internal targets. Unfinished optional work is dropped, while a core validity blocker cannot be waived to meet a date.</w:t>
      </w:r>
    </w:p>
  </w:comment>
  <w:comment w:id="6" w:author="Revision 3 review" w:initials="R3" w:date="2026-10-03T23:34:26Z">
    <w:p>
      <w:pPr>
        <w:pStyle w:val="CommentText"/>
      </w:pPr>
      <w:r>
        <w:rPr>
          <w:rStyle w:val="CommentReference"/>
        </w:rPr>
        <w:annotationRef/>
      </w:r>
      <w:r>
        <w:t>The full-bank result and completed diagnosis determine the core packet. Optional panels no longer gate E or writing.</w:t>
      </w:r>
    </w:p>
  </w:comment>
  <w:comment w:id="7" w:author="Revision 3 review" w:initials="R3" w:date="2026-10-03T23:34:26Z">
    <w:p>
      <w:pPr>
        <w:pStyle w:val="CommentText"/>
      </w:pPr>
      <w:r>
        <w:rPr>
          <w:rStyle w:val="CommentReference"/>
        </w:rPr>
        <w:annotationRef/>
      </w:r>
      <w:r>
        <w:t>A new follow-up must satisfy all three conditions and finish before the fixed lock; default is no further experiment.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7"/>
      </w:rPr>
      <w:t xml:space="preserve">Submission checkpoint October 2026   |   Revision 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graceshan/truth-probing-extensions/blob/1187140c7f79b0b64439eff382d420f51d974a25/results/checkpoint_r2_b25_convergence_fix_20261002/report.md" TargetMode="External"/><Relationship Id="rId11" Type="http://schemas.openxmlformats.org/officeDocument/2006/relationships/hyperlink" Target="https://github.com/graceshan/truth-probing-extensions/blob/1187140c7f79b0b64439eff382d420f51d974a25/results/checkpoint_r2_b25_convergence_fix_20261002/metrics.csv" TargetMode="External"/><Relationship Id="rId12" Type="http://schemas.openxmlformats.org/officeDocument/2006/relationships/hyperlink" Target="https://github.com/graceshan/truth-probing-extensions/blob/1187140c7f79b0b64439eff382d420f51d974a25/results/checkpoint_r2_b25_convergence_fix_20261002/contrasts.csv" TargetMode="External"/><Relationship Id="rId13" Type="http://schemas.openxmlformats.org/officeDocument/2006/relationships/hyperlink" Target="https://github.com/graceshan/truth-probing-extensions/blob/1187140c7f79b0b64439eff382d420f51d974a25/results/checkpoint_r2_b25_convergence_fix_20261002/all-layer-bank-metrics.csv" TargetMode="External"/><Relationship Id="rId14" Type="http://schemas.openxmlformats.org/officeDocument/2006/relationships/hyperlink" Target="https://github.com/graceshan/truth-probing-extensions/blob/0a256d96b0fbf41f7ce678693da15cf230685778/results/checkpoint_r2_fresh_constituents_20261003/report.md" TargetMode="External"/><Relationship Id="rId15" Type="http://schemas.openxmlformats.org/officeDocument/2006/relationships/hyperlink" Target="https://github.com/graceshan/truth-probing-extensions/blob/0a256d96b0fbf41f7ce678693da15cf230685778/config/checkpoint_r2/protocol_v1.json" TargetMode="External"/><Relationship Id="rId16" Type="http://schemas.openxmlformats.org/officeDocument/2006/relationships/hyperlink" Target="https://github.com/graceshan/truth-probing-extensions/blob/0a256d96b0fbf41f7ce678693da15cf230685778/docs/checkpoint_r2/approved_revision_2.txt" TargetMode="External"/><Relationship Id="rId17" Type="http://schemas.openxmlformats.org/officeDocument/2006/relationships/hyperlink" Target="https://github.com/graceshan/truth-probing-extensions/blob/bca07a055c70f7debb6389cf68feb6d2ab7c543f/results/checkpoint_next_score_diagnosis_20261003/report.md" TargetMode="External"/><Relationship Id="rId18" Type="http://schemas.openxmlformats.org/officeDocument/2006/relationships/hyperlink" Target="https://github.com/graceshan/truth-probing-extensions/blob/fc083594dc17d1fc38f7b52dd8030b0a7f2cb67d/docs/checkpoint_next/INTEGRATION_PREPARATION_REPORT_20261003.md" TargetMode="External"/><Relationship Id="rId19" Type="http://schemas.openxmlformats.org/officeDocument/2006/relationships/hyperlink" Target="https://github.com/graceshan/truth-probing-extensions/blob/98ec4004168c2bc5d1906ce1d7cf95a93dde759f/docs/checkpoint_next/FULL_BANK_PREPARATION_REPORT_20261003.md" TargetMode="External"/><Relationship Id="rId20" Type="http://schemas.openxmlformats.org/officeDocument/2006/relationships/comments" Target="comments.xml"/><Relationship Id="rId2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Truth Probing Checkpoint and Submission Plan</dc:title>
  <dc:subject>Revision 3 priorities and analysis lock October 2026</dc:subject>
  <dc:creator>Grace Shan</dc:creator>
  <cp:keywords/>
  <dc:description>generated by python-docx</dc:description>
  <cp:lastModifiedBy/>
  <cp:revision>1</cp:revision>
  <dcterms:created xsi:type="dcterms:W3CDTF">2013-12-23T23:15:00Z</dcterms:created>
  <dcterms:modified xsi:type="dcterms:W3CDTF">2013-12-23T23:15:00Z</dcterms:modified>
  <cp:category/>
</cp:coreProperties>
</file>