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Original Brain Stroke Patient Data</w:t>
        <w:br/>
        <w:t>Exploratory Analysis and Visualization Report</w:t>
      </w:r>
    </w:p>
    <w:p>
      <w:pPr>
        <w:jc w:val="center"/>
      </w:pPr>
      <w:r>
        <w:rPr>
          <w:i/>
        </w:rPr>
        <w:t>Includes data-quality checks, descriptive summaries, embedded plots, and a standalone interactive dashboard.</w:t>
      </w:r>
    </w:p>
    <w:p/>
    <w:p>
      <w:pPr>
        <w:pStyle w:val="Heading1"/>
      </w:pPr>
      <w:r>
        <w:t>1. Executive Summary</w:t>
      </w:r>
    </w:p>
    <w:p>
      <w:r>
        <w:t>The uploaded original brain stroke patient dataset was loaded, checked for structural data quality, summarized, and visualized. The dataset contains a rare stroke outcome, with approximately 5.0% of patients labeled as stroke cases. Exploratory patterns show the strongest observed differences by age, medical history indicators, average glucose level, BMI, and smoking status. These are descriptive associations only and should not be interpreted as causal effects.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
              <w:rPr>
                <w:b/>
                <w:color w:val="FFFFFF"/>
              </w:rPr>
              <w:t>Item</w:t>
            </w:r>
          </w:p>
        </w:tc>
        <w:tc>
          <w:tcPr>
            <w:tcW w:type="dxa" w:w="5184"/>
            <w:vAlign w:val="center"/>
            <w:shd w:fill="1F4E79"/>
          </w:tcPr>
          <w:p>
            <w:r/>
            <w:r>
              <w:rPr>
                <w:b/>
                <w:color w:val="FFFFFF"/>
              </w:rPr>
              <w:t>Result</w:t>
            </w:r>
          </w:p>
        </w:tc>
      </w:tr>
      <w:tr>
        <w:tc>
          <w:tcPr>
            <w:tcW w:type="dxa" w:w="5184"/>
            <w:vAlign w:val="center"/>
          </w:tcPr>
          <w:p>
            <w:r/>
            <w:r>
              <w:rPr>
                <w:b w:val="0"/>
              </w:rPr>
              <w:t>Original file</w:t>
            </w:r>
          </w:p>
        </w:tc>
        <w:tc>
          <w:tcPr>
            <w:tcW w:type="dxa" w:w="5184"/>
            <w:vAlign w:val="center"/>
          </w:tcPr>
          <w:p>
            <w:r/>
            <w:r>
              <w:rPr>
                <w:b w:val="0"/>
              </w:rPr>
              <w:t>a7c99cd2-c13c-4bab-8187-c32a6ae2efcc.xlsx</w:t>
            </w:r>
          </w:p>
        </w:tc>
      </w:tr>
      <w:tr>
        <w:tc>
          <w:tcPr>
            <w:tcW w:type="dxa" w:w="5184"/>
            <w:vAlign w:val="center"/>
          </w:tcPr>
          <w:p>
            <w:r/>
            <w:r>
              <w:rPr>
                <w:b w:val="0"/>
              </w:rPr>
              <w:t>Worksheet analyzed</w:t>
            </w:r>
          </w:p>
        </w:tc>
        <w:tc>
          <w:tcPr>
            <w:tcW w:type="dxa" w:w="5184"/>
            <w:vAlign w:val="center"/>
          </w:tcPr>
          <w:p>
            <w:r/>
            <w:r>
              <w:rPr>
                <w:b w:val="0"/>
              </w:rPr>
              <w:t>full_data_real</w:t>
            </w:r>
          </w:p>
        </w:tc>
      </w:tr>
      <w:tr>
        <w:tc>
          <w:tcPr>
            <w:tcW w:type="dxa" w:w="5184"/>
            <w:vAlign w:val="center"/>
          </w:tcPr>
          <w:p>
            <w:r/>
            <w:r>
              <w:rPr>
                <w:b w:val="0"/>
              </w:rPr>
              <w:t>Records</w:t>
            </w:r>
          </w:p>
        </w:tc>
        <w:tc>
          <w:tcPr>
            <w:tcW w:type="dxa" w:w="5184"/>
            <w:vAlign w:val="center"/>
          </w:tcPr>
          <w:p>
            <w:r/>
            <w:r>
              <w:rPr>
                <w:b w:val="0"/>
              </w:rPr>
              <w:t>4,981</w:t>
            </w:r>
          </w:p>
        </w:tc>
      </w:tr>
      <w:tr>
        <w:tc>
          <w:tcPr>
            <w:tcW w:type="dxa" w:w="5184"/>
            <w:vAlign w:val="center"/>
          </w:tcPr>
          <w:p>
            <w:r/>
            <w:r>
              <w:rPr>
                <w:b w:val="0"/>
              </w:rPr>
              <w:t>Original columns</w:t>
            </w:r>
          </w:p>
        </w:tc>
        <w:tc>
          <w:tcPr>
            <w:tcW w:type="dxa" w:w="5184"/>
            <w:vAlign w:val="center"/>
          </w:tcPr>
          <w:p>
            <w:r/>
            <w:r>
              <w:rPr>
                <w:b w:val="0"/>
              </w:rPr>
              <w:t>11</w:t>
            </w:r>
          </w:p>
        </w:tc>
      </w:tr>
      <w:tr>
        <w:tc>
          <w:tcPr>
            <w:tcW w:type="dxa" w:w="5184"/>
            <w:vAlign w:val="center"/>
          </w:tcPr>
          <w:p>
            <w:r/>
            <w:r>
              <w:rPr>
                <w:b w:val="0"/>
              </w:rPr>
              <w:t>Stroke cases</w:t>
            </w:r>
          </w:p>
        </w:tc>
        <w:tc>
          <w:tcPr>
            <w:tcW w:type="dxa" w:w="5184"/>
            <w:vAlign w:val="center"/>
          </w:tcPr>
          <w:p>
            <w:r/>
            <w:r>
              <w:rPr>
                <w:b w:val="0"/>
              </w:rPr>
              <w:t>248</w:t>
            </w:r>
          </w:p>
        </w:tc>
      </w:tr>
      <w:tr>
        <w:tc>
          <w:tcPr>
            <w:tcW w:type="dxa" w:w="5184"/>
            <w:vAlign w:val="center"/>
          </w:tcPr>
          <w:p>
            <w:r/>
            <w:r>
              <w:rPr>
                <w:b w:val="0"/>
              </w:rPr>
              <w:t>No-stroke cases</w:t>
            </w:r>
          </w:p>
        </w:tc>
        <w:tc>
          <w:tcPr>
            <w:tcW w:type="dxa" w:w="5184"/>
            <w:vAlign w:val="center"/>
          </w:tcPr>
          <w:p>
            <w:r/>
            <w:r>
              <w:rPr>
                <w:b w:val="0"/>
              </w:rPr>
              <w:t>4,733</w:t>
            </w:r>
          </w:p>
        </w:tc>
      </w:tr>
      <w:tr>
        <w:tc>
          <w:tcPr>
            <w:tcW w:type="dxa" w:w="5184"/>
            <w:vAlign w:val="center"/>
          </w:tcPr>
          <w:p>
            <w:r/>
            <w:r>
              <w:rPr>
                <w:b w:val="0"/>
              </w:rPr>
              <w:t>Stroke prevalence</w:t>
            </w:r>
          </w:p>
        </w:tc>
        <w:tc>
          <w:tcPr>
            <w:tcW w:type="dxa" w:w="5184"/>
            <w:vAlign w:val="center"/>
          </w:tcPr>
          <w:p>
            <w:r/>
            <w:r>
              <w:rPr>
                <w:b w:val="0"/>
              </w:rPr>
              <w:t>4.98%</w:t>
            </w:r>
          </w:p>
        </w:tc>
      </w:tr>
      <w:tr>
        <w:tc>
          <w:tcPr>
            <w:tcW w:type="dxa" w:w="5184"/>
            <w:vAlign w:val="center"/>
          </w:tcPr>
          <w:p>
            <w:r/>
            <w:r>
              <w:rPr>
                <w:b w:val="0"/>
              </w:rPr>
              <w:t>Missing values</w:t>
            </w:r>
          </w:p>
        </w:tc>
        <w:tc>
          <w:tcPr>
            <w:tcW w:type="dxa" w:w="5184"/>
            <w:vAlign w:val="center"/>
          </w:tcPr>
          <w:p>
            <w:r/>
            <w:r>
              <w:rPr>
                <w:b w:val="0"/>
              </w:rPr>
              <w:t>0</w:t>
            </w:r>
          </w:p>
        </w:tc>
      </w:tr>
      <w:tr>
        <w:tc>
          <w:tcPr>
            <w:tcW w:type="dxa" w:w="5184"/>
            <w:vAlign w:val="center"/>
          </w:tcPr>
          <w:p>
            <w:r/>
            <w:r>
              <w:rPr>
                <w:b w:val="0"/>
              </w:rPr>
              <w:t>Duplicate rows</w:t>
            </w:r>
          </w:p>
        </w:tc>
        <w:tc>
          <w:tcPr>
            <w:tcW w:type="dxa" w:w="5184"/>
            <w:vAlign w:val="center"/>
          </w:tcPr>
          <w:p>
            <w:r/>
            <w:r>
              <w:rPr>
                <w:b w:val="0"/>
              </w:rPr>
              <w:t>0</w:t>
            </w:r>
          </w:p>
        </w:tc>
      </w:tr>
    </w:tbl>
    <w:p>
      <w:pPr>
        <w:pStyle w:val="Heading1"/>
      </w:pPr>
      <w:r>
        <w:t>2. Data Structure and Quality Checks</w:t>
      </w:r>
    </w:p>
    <w:p>
      <w:r>
        <w:t>The dataset had 11 original columns. No missing values and no duplicate rows were detected. The target variable is stroke, coded as 0 = No Stroke and 1 = Stroke.</w:t>
      </w:r>
    </w:p>
    <w:p>
      <w:pPr>
        <w:pStyle w:val="Caption"/>
      </w:pPr>
      <w:r>
        <w:t>Table 1. Column names and data types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
              <w:rPr>
                <w:b/>
                <w:color w:val="FFFFFF"/>
              </w:rPr>
              <w:t>Column</w:t>
            </w:r>
          </w:p>
        </w:tc>
        <w:tc>
          <w:tcPr>
            <w:tcW w:type="dxa" w:w="5184"/>
            <w:vAlign w:val="center"/>
            <w:shd w:fill="1F4E79"/>
          </w:tcPr>
          <w:p>
            <w:r/>
            <w:r>
              <w:rPr>
                <w:b/>
                <w:color w:val="FFFFFF"/>
              </w:rPr>
              <w:t>Data type</w:t>
            </w:r>
          </w:p>
        </w:tc>
      </w:tr>
      <w:tr>
        <w:tc>
          <w:tcPr>
            <w:tcW w:type="dxa" w:w="5184"/>
            <w:vAlign w:val="center"/>
          </w:tcPr>
          <w:p>
            <w:r/>
            <w:r>
              <w:rPr>
                <w:b w:val="0"/>
              </w:rPr>
              <w:t>Gender</w:t>
            </w:r>
          </w:p>
        </w:tc>
        <w:tc>
          <w:tcPr>
            <w:tcW w:type="dxa" w:w="5184"/>
            <w:vAlign w:val="center"/>
          </w:tcPr>
          <w:p>
            <w:r/>
            <w:r>
              <w:rPr>
                <w:b w:val="0"/>
              </w:rPr>
              <w:t>object</w:t>
            </w:r>
          </w:p>
        </w:tc>
      </w:tr>
      <w:tr>
        <w:tc>
          <w:tcPr>
            <w:tcW w:type="dxa" w:w="5184"/>
            <w:vAlign w:val="center"/>
          </w:tcPr>
          <w:p>
            <w:r/>
            <w:r>
              <w:rPr>
                <w:b w:val="0"/>
              </w:rPr>
              <w:t>age</w:t>
            </w:r>
          </w:p>
        </w:tc>
        <w:tc>
          <w:tcPr>
            <w:tcW w:type="dxa" w:w="5184"/>
            <w:vAlign w:val="center"/>
          </w:tcPr>
          <w:p>
            <w:r/>
            <w:r>
              <w:rPr>
                <w:b w:val="0"/>
              </w:rPr>
              <w:t>float64</w:t>
            </w:r>
          </w:p>
        </w:tc>
      </w:tr>
      <w:tr>
        <w:tc>
          <w:tcPr>
            <w:tcW w:type="dxa" w:w="5184"/>
            <w:vAlign w:val="center"/>
          </w:tcPr>
          <w:p>
            <w:r/>
            <w:r>
              <w:rPr>
                <w:b w:val="0"/>
              </w:rPr>
              <w:t>hypertension</w:t>
            </w:r>
          </w:p>
        </w:tc>
        <w:tc>
          <w:tcPr>
            <w:tcW w:type="dxa" w:w="5184"/>
            <w:vAlign w:val="center"/>
          </w:tcPr>
          <w:p>
            <w:r/>
            <w:r>
              <w:rPr>
                <w:b w:val="0"/>
              </w:rPr>
              <w:t>int64</w:t>
            </w:r>
          </w:p>
        </w:tc>
      </w:tr>
      <w:tr>
        <w:tc>
          <w:tcPr>
            <w:tcW w:type="dxa" w:w="5184"/>
            <w:vAlign w:val="center"/>
          </w:tcPr>
          <w:p>
            <w:r/>
            <w:r>
              <w:rPr>
                <w:b w:val="0"/>
              </w:rPr>
              <w:t>heart_disease</w:t>
            </w:r>
          </w:p>
        </w:tc>
        <w:tc>
          <w:tcPr>
            <w:tcW w:type="dxa" w:w="5184"/>
            <w:vAlign w:val="center"/>
          </w:tcPr>
          <w:p>
            <w:r/>
            <w:r>
              <w:rPr>
                <w:b w:val="0"/>
              </w:rPr>
              <w:t>int64</w:t>
            </w:r>
          </w:p>
        </w:tc>
      </w:tr>
      <w:tr>
        <w:tc>
          <w:tcPr>
            <w:tcW w:type="dxa" w:w="5184"/>
            <w:vAlign w:val="center"/>
          </w:tcPr>
          <w:p>
            <w:r/>
            <w:r>
              <w:rPr>
                <w:b w:val="0"/>
              </w:rPr>
              <w:t>ever_married</w:t>
            </w:r>
          </w:p>
        </w:tc>
        <w:tc>
          <w:tcPr>
            <w:tcW w:type="dxa" w:w="5184"/>
            <w:vAlign w:val="center"/>
          </w:tcPr>
          <w:p>
            <w:r/>
            <w:r>
              <w:rPr>
                <w:b w:val="0"/>
              </w:rPr>
              <w:t>object</w:t>
            </w:r>
          </w:p>
        </w:tc>
      </w:tr>
      <w:tr>
        <w:tc>
          <w:tcPr>
            <w:tcW w:type="dxa" w:w="5184"/>
            <w:vAlign w:val="center"/>
          </w:tcPr>
          <w:p>
            <w:r/>
            <w:r>
              <w:rPr>
                <w:b w:val="0"/>
              </w:rPr>
              <w:t>work_type</w:t>
            </w:r>
          </w:p>
        </w:tc>
        <w:tc>
          <w:tcPr>
            <w:tcW w:type="dxa" w:w="5184"/>
            <w:vAlign w:val="center"/>
          </w:tcPr>
          <w:p>
            <w:r/>
            <w:r>
              <w:rPr>
                <w:b w:val="0"/>
              </w:rPr>
              <w:t>object</w:t>
            </w:r>
          </w:p>
        </w:tc>
      </w:tr>
      <w:tr>
        <w:tc>
          <w:tcPr>
            <w:tcW w:type="dxa" w:w="5184"/>
            <w:vAlign w:val="center"/>
          </w:tcPr>
          <w:p>
            <w:r/>
            <w:r>
              <w:rPr>
                <w:b w:val="0"/>
              </w:rPr>
              <w:t>Residence_type</w:t>
            </w:r>
          </w:p>
        </w:tc>
        <w:tc>
          <w:tcPr>
            <w:tcW w:type="dxa" w:w="5184"/>
            <w:vAlign w:val="center"/>
          </w:tcPr>
          <w:p>
            <w:r/>
            <w:r>
              <w:rPr>
                <w:b w:val="0"/>
              </w:rPr>
              <w:t>object</w:t>
            </w:r>
          </w:p>
        </w:tc>
      </w:tr>
      <w:tr>
        <w:tc>
          <w:tcPr>
            <w:tcW w:type="dxa" w:w="5184"/>
            <w:vAlign w:val="center"/>
          </w:tcPr>
          <w:p>
            <w:r/>
            <w:r>
              <w:rPr>
                <w:b w:val="0"/>
              </w:rPr>
              <w:t>avg_glucose_level</w:t>
            </w:r>
          </w:p>
        </w:tc>
        <w:tc>
          <w:tcPr>
            <w:tcW w:type="dxa" w:w="5184"/>
            <w:vAlign w:val="center"/>
          </w:tcPr>
          <w:p>
            <w:r/>
            <w:r>
              <w:rPr>
                <w:b w:val="0"/>
              </w:rPr>
              <w:t>float64</w:t>
            </w:r>
          </w:p>
        </w:tc>
      </w:tr>
      <w:tr>
        <w:tc>
          <w:tcPr>
            <w:tcW w:type="dxa" w:w="5184"/>
            <w:vAlign w:val="center"/>
          </w:tcPr>
          <w:p>
            <w:r/>
            <w:r>
              <w:rPr>
                <w:b w:val="0"/>
              </w:rPr>
              <w:t>bmi</w:t>
            </w:r>
          </w:p>
        </w:tc>
        <w:tc>
          <w:tcPr>
            <w:tcW w:type="dxa" w:w="5184"/>
            <w:vAlign w:val="center"/>
          </w:tcPr>
          <w:p>
            <w:r/>
            <w:r>
              <w:rPr>
                <w:b w:val="0"/>
              </w:rPr>
              <w:t>float64</w:t>
            </w:r>
          </w:p>
        </w:tc>
      </w:tr>
      <w:tr>
        <w:tc>
          <w:tcPr>
            <w:tcW w:type="dxa" w:w="5184"/>
            <w:vAlign w:val="center"/>
          </w:tcPr>
          <w:p>
            <w:r/>
            <w:r>
              <w:rPr>
                <w:b w:val="0"/>
              </w:rPr>
              <w:t>smoking_status</w:t>
            </w:r>
          </w:p>
        </w:tc>
        <w:tc>
          <w:tcPr>
            <w:tcW w:type="dxa" w:w="5184"/>
            <w:vAlign w:val="center"/>
          </w:tcPr>
          <w:p>
            <w:r/>
            <w:r>
              <w:rPr>
                <w:b w:val="0"/>
              </w:rPr>
              <w:t>object</w:t>
            </w:r>
          </w:p>
        </w:tc>
      </w:tr>
      <w:tr>
        <w:tc>
          <w:tcPr>
            <w:tcW w:type="dxa" w:w="5184"/>
            <w:vAlign w:val="center"/>
          </w:tcPr>
          <w:p>
            <w:r/>
            <w:r>
              <w:rPr>
                <w:b w:val="0"/>
              </w:rPr>
              <w:t>stroke</w:t>
            </w:r>
          </w:p>
        </w:tc>
        <w:tc>
          <w:tcPr>
            <w:tcW w:type="dxa" w:w="5184"/>
            <w:vAlign w:val="center"/>
          </w:tcPr>
          <w:p>
            <w:r/>
            <w:r>
              <w:rPr>
                <w:b w:val="0"/>
              </w:rPr>
              <w:t>int64</w:t>
            </w:r>
          </w:p>
        </w:tc>
      </w:tr>
    </w:tbl>
    <w:p>
      <w:pPr>
        <w:pStyle w:val="Caption"/>
      </w:pPr>
      <w:r>
        <w:t>Table 2. Missing-value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
              <w:rPr>
                <w:b/>
                <w:color w:val="FFFFFF"/>
              </w:rPr>
              <w:t>Column</w:t>
            </w:r>
          </w:p>
        </w:tc>
        <w:tc>
          <w:tcPr>
            <w:tcW w:type="dxa" w:w="3456"/>
            <w:vAlign w:val="center"/>
            <w:shd w:fill="1F4E79"/>
          </w:tcPr>
          <w:p>
            <w:r/>
            <w:r>
              <w:rPr>
                <w:b/>
                <w:color w:val="FFFFFF"/>
              </w:rPr>
              <w:t>missing_count</w:t>
            </w:r>
          </w:p>
        </w:tc>
        <w:tc>
          <w:tcPr>
            <w:tcW w:type="dxa" w:w="3456"/>
            <w:vAlign w:val="center"/>
            <w:shd w:fill="1F4E79"/>
          </w:tcPr>
          <w:p>
            <w:r/>
            <w:r>
              <w:rPr>
                <w:b/>
                <w:color w:val="FFFFFF"/>
              </w:rPr>
              <w:t>missing_pct</w:t>
            </w:r>
          </w:p>
        </w:tc>
      </w:tr>
      <w:tr>
        <w:tc>
          <w:tcPr>
            <w:tcW w:type="dxa" w:w="3456"/>
            <w:vAlign w:val="center"/>
          </w:tcPr>
          <w:p>
            <w:r/>
            <w:r>
              <w:rPr>
                <w:b w:val="0"/>
              </w:rPr>
              <w:t>Gender</w:t>
            </w:r>
          </w:p>
        </w:tc>
        <w:tc>
          <w:tcPr>
            <w:tcW w:type="dxa" w:w="3456"/>
            <w:vAlign w:val="center"/>
          </w:tcPr>
          <w:p>
            <w:r/>
            <w:r>
              <w:rPr>
                <w:b w:val="0"/>
              </w:rPr>
              <w:t>0</w:t>
            </w:r>
          </w:p>
        </w:tc>
        <w:tc>
          <w:tcPr>
            <w:tcW w:type="dxa" w:w="3456"/>
            <w:vAlign w:val="center"/>
          </w:tcPr>
          <w:p>
            <w:r/>
            <w:r>
              <w:rPr>
                <w:b w:val="0"/>
              </w:rPr>
              <w:t>0.00%</w:t>
            </w:r>
          </w:p>
        </w:tc>
      </w:tr>
      <w:tr>
        <w:tc>
          <w:tcPr>
            <w:tcW w:type="dxa" w:w="3456"/>
            <w:vAlign w:val="center"/>
          </w:tcPr>
          <w:p>
            <w:r/>
            <w:r>
              <w:rPr>
                <w:b w:val="0"/>
              </w:rPr>
              <w:t>age</w:t>
            </w:r>
          </w:p>
        </w:tc>
        <w:tc>
          <w:tcPr>
            <w:tcW w:type="dxa" w:w="3456"/>
            <w:vAlign w:val="center"/>
          </w:tcPr>
          <w:p>
            <w:r/>
            <w:r>
              <w:rPr>
                <w:b w:val="0"/>
              </w:rPr>
              <w:t>0</w:t>
            </w:r>
          </w:p>
        </w:tc>
        <w:tc>
          <w:tcPr>
            <w:tcW w:type="dxa" w:w="3456"/>
            <w:vAlign w:val="center"/>
          </w:tcPr>
          <w:p>
            <w:r/>
            <w:r>
              <w:rPr>
                <w:b w:val="0"/>
              </w:rPr>
              <w:t>0.00%</w:t>
            </w:r>
          </w:p>
        </w:tc>
      </w:tr>
      <w:tr>
        <w:tc>
          <w:tcPr>
            <w:tcW w:type="dxa" w:w="3456"/>
            <w:vAlign w:val="center"/>
          </w:tcPr>
          <w:p>
            <w:r/>
            <w:r>
              <w:rPr>
                <w:b w:val="0"/>
              </w:rPr>
              <w:t>hypertension</w:t>
            </w:r>
          </w:p>
        </w:tc>
        <w:tc>
          <w:tcPr>
            <w:tcW w:type="dxa" w:w="3456"/>
            <w:vAlign w:val="center"/>
          </w:tcPr>
          <w:p>
            <w:r/>
            <w:r>
              <w:rPr>
                <w:b w:val="0"/>
              </w:rPr>
              <w:t>0</w:t>
            </w:r>
          </w:p>
        </w:tc>
        <w:tc>
          <w:tcPr>
            <w:tcW w:type="dxa" w:w="3456"/>
            <w:vAlign w:val="center"/>
          </w:tcPr>
          <w:p>
            <w:r/>
            <w:r>
              <w:rPr>
                <w:b w:val="0"/>
              </w:rPr>
              <w:t>0.00%</w:t>
            </w:r>
          </w:p>
        </w:tc>
      </w:tr>
      <w:tr>
        <w:tc>
          <w:tcPr>
            <w:tcW w:type="dxa" w:w="3456"/>
            <w:vAlign w:val="center"/>
          </w:tcPr>
          <w:p>
            <w:r/>
            <w:r>
              <w:rPr>
                <w:b w:val="0"/>
              </w:rPr>
              <w:t>heart_disease</w:t>
            </w:r>
          </w:p>
        </w:tc>
        <w:tc>
          <w:tcPr>
            <w:tcW w:type="dxa" w:w="3456"/>
            <w:vAlign w:val="center"/>
          </w:tcPr>
          <w:p>
            <w:r/>
            <w:r>
              <w:rPr>
                <w:b w:val="0"/>
              </w:rPr>
              <w:t>0</w:t>
            </w:r>
          </w:p>
        </w:tc>
        <w:tc>
          <w:tcPr>
            <w:tcW w:type="dxa" w:w="3456"/>
            <w:vAlign w:val="center"/>
          </w:tcPr>
          <w:p>
            <w:r/>
            <w:r>
              <w:rPr>
                <w:b w:val="0"/>
              </w:rPr>
              <w:t>0.00%</w:t>
            </w:r>
          </w:p>
        </w:tc>
      </w:tr>
      <w:tr>
        <w:tc>
          <w:tcPr>
            <w:tcW w:type="dxa" w:w="3456"/>
            <w:vAlign w:val="center"/>
          </w:tcPr>
          <w:p>
            <w:r/>
            <w:r>
              <w:rPr>
                <w:b w:val="0"/>
              </w:rPr>
              <w:t>ever_married</w:t>
            </w:r>
          </w:p>
        </w:tc>
        <w:tc>
          <w:tcPr>
            <w:tcW w:type="dxa" w:w="3456"/>
            <w:vAlign w:val="center"/>
          </w:tcPr>
          <w:p>
            <w:r/>
            <w:r>
              <w:rPr>
                <w:b w:val="0"/>
              </w:rPr>
              <w:t>0</w:t>
            </w:r>
          </w:p>
        </w:tc>
        <w:tc>
          <w:tcPr>
            <w:tcW w:type="dxa" w:w="3456"/>
            <w:vAlign w:val="center"/>
          </w:tcPr>
          <w:p>
            <w:r/>
            <w:r>
              <w:rPr>
                <w:b w:val="0"/>
              </w:rPr>
              <w:t>0.00%</w:t>
            </w:r>
          </w:p>
        </w:tc>
      </w:tr>
      <w:tr>
        <w:tc>
          <w:tcPr>
            <w:tcW w:type="dxa" w:w="3456"/>
            <w:vAlign w:val="center"/>
          </w:tcPr>
          <w:p>
            <w:r/>
            <w:r>
              <w:rPr>
                <w:b w:val="0"/>
              </w:rPr>
              <w:t>work_type</w:t>
            </w:r>
          </w:p>
        </w:tc>
        <w:tc>
          <w:tcPr>
            <w:tcW w:type="dxa" w:w="3456"/>
            <w:vAlign w:val="center"/>
          </w:tcPr>
          <w:p>
            <w:r/>
            <w:r>
              <w:rPr>
                <w:b w:val="0"/>
              </w:rPr>
              <w:t>0</w:t>
            </w:r>
          </w:p>
        </w:tc>
        <w:tc>
          <w:tcPr>
            <w:tcW w:type="dxa" w:w="3456"/>
            <w:vAlign w:val="center"/>
          </w:tcPr>
          <w:p>
            <w:r/>
            <w:r>
              <w:rPr>
                <w:b w:val="0"/>
              </w:rPr>
              <w:t>0.00%</w:t>
            </w:r>
          </w:p>
        </w:tc>
      </w:tr>
      <w:tr>
        <w:tc>
          <w:tcPr>
            <w:tcW w:type="dxa" w:w="3456"/>
            <w:vAlign w:val="center"/>
          </w:tcPr>
          <w:p>
            <w:r/>
            <w:r>
              <w:rPr>
                <w:b w:val="0"/>
              </w:rPr>
              <w:t>Residence_type</w:t>
            </w:r>
          </w:p>
        </w:tc>
        <w:tc>
          <w:tcPr>
            <w:tcW w:type="dxa" w:w="3456"/>
            <w:vAlign w:val="center"/>
          </w:tcPr>
          <w:p>
            <w:r/>
            <w:r>
              <w:rPr>
                <w:b w:val="0"/>
              </w:rPr>
              <w:t>0</w:t>
            </w:r>
          </w:p>
        </w:tc>
        <w:tc>
          <w:tcPr>
            <w:tcW w:type="dxa" w:w="3456"/>
            <w:vAlign w:val="center"/>
          </w:tcPr>
          <w:p>
            <w:r/>
            <w:r>
              <w:rPr>
                <w:b w:val="0"/>
              </w:rPr>
              <w:t>0.00%</w:t>
            </w:r>
          </w:p>
        </w:tc>
      </w:tr>
      <w:tr>
        <w:tc>
          <w:tcPr>
            <w:tcW w:type="dxa" w:w="3456"/>
            <w:vAlign w:val="center"/>
          </w:tcPr>
          <w:p>
            <w:r/>
            <w:r>
              <w:rPr>
                <w:b w:val="0"/>
              </w:rPr>
              <w:t>avg_glucose_level</w:t>
            </w:r>
          </w:p>
        </w:tc>
        <w:tc>
          <w:tcPr>
            <w:tcW w:type="dxa" w:w="3456"/>
            <w:vAlign w:val="center"/>
          </w:tcPr>
          <w:p>
            <w:r/>
            <w:r>
              <w:rPr>
                <w:b w:val="0"/>
              </w:rPr>
              <w:t>0</w:t>
            </w:r>
          </w:p>
        </w:tc>
        <w:tc>
          <w:tcPr>
            <w:tcW w:type="dxa" w:w="3456"/>
            <w:vAlign w:val="center"/>
          </w:tcPr>
          <w:p>
            <w:r/>
            <w:r>
              <w:rPr>
                <w:b w:val="0"/>
              </w:rPr>
              <w:t>0.00%</w:t>
            </w:r>
          </w:p>
        </w:tc>
      </w:tr>
      <w:tr>
        <w:tc>
          <w:tcPr>
            <w:tcW w:type="dxa" w:w="3456"/>
            <w:vAlign w:val="center"/>
          </w:tcPr>
          <w:p>
            <w:r/>
            <w:r>
              <w:rPr>
                <w:b w:val="0"/>
              </w:rPr>
              <w:t>bmi</w:t>
            </w:r>
          </w:p>
        </w:tc>
        <w:tc>
          <w:tcPr>
            <w:tcW w:type="dxa" w:w="3456"/>
            <w:vAlign w:val="center"/>
          </w:tcPr>
          <w:p>
            <w:r/>
            <w:r>
              <w:rPr>
                <w:b w:val="0"/>
              </w:rPr>
              <w:t>0</w:t>
            </w:r>
          </w:p>
        </w:tc>
        <w:tc>
          <w:tcPr>
            <w:tcW w:type="dxa" w:w="3456"/>
            <w:vAlign w:val="center"/>
          </w:tcPr>
          <w:p>
            <w:r/>
            <w:r>
              <w:rPr>
                <w:b w:val="0"/>
              </w:rPr>
              <w:t>0.00%</w:t>
            </w:r>
          </w:p>
        </w:tc>
      </w:tr>
      <w:tr>
        <w:tc>
          <w:tcPr>
            <w:tcW w:type="dxa" w:w="3456"/>
            <w:vAlign w:val="center"/>
          </w:tcPr>
          <w:p>
            <w:r/>
            <w:r>
              <w:rPr>
                <w:b w:val="0"/>
              </w:rPr>
              <w:t>smoking_status</w:t>
            </w:r>
          </w:p>
        </w:tc>
        <w:tc>
          <w:tcPr>
            <w:tcW w:type="dxa" w:w="3456"/>
            <w:vAlign w:val="center"/>
          </w:tcPr>
          <w:p>
            <w:r/>
            <w:r>
              <w:rPr>
                <w:b w:val="0"/>
              </w:rPr>
              <w:t>0</w:t>
            </w:r>
          </w:p>
        </w:tc>
        <w:tc>
          <w:tcPr>
            <w:tcW w:type="dxa" w:w="3456"/>
            <w:vAlign w:val="center"/>
          </w:tcPr>
          <w:p>
            <w:r/>
            <w:r>
              <w:rPr>
                <w:b w:val="0"/>
              </w:rPr>
              <w:t>0.00%</w:t>
            </w:r>
          </w:p>
        </w:tc>
      </w:tr>
      <w:tr>
        <w:tc>
          <w:tcPr>
            <w:tcW w:type="dxa" w:w="3456"/>
            <w:vAlign w:val="center"/>
          </w:tcPr>
          <w:p>
            <w:r/>
            <w:r>
              <w:rPr>
                <w:b w:val="0"/>
              </w:rPr>
              <w:t>stroke</w:t>
            </w:r>
          </w:p>
        </w:tc>
        <w:tc>
          <w:tcPr>
            <w:tcW w:type="dxa" w:w="3456"/>
            <w:vAlign w:val="center"/>
          </w:tcPr>
          <w:p>
            <w:r/>
            <w:r>
              <w:rPr>
                <w:b w:val="0"/>
              </w:rPr>
              <w:t>0</w:t>
            </w:r>
          </w:p>
        </w:tc>
        <w:tc>
          <w:tcPr>
            <w:tcW w:type="dxa" w:w="3456"/>
            <w:vAlign w:val="center"/>
          </w:tcPr>
          <w:p>
            <w:r/>
            <w:r>
              <w:rPr>
                <w:b w:val="0"/>
              </w:rPr>
              <w:t>0.00%</w:t>
            </w:r>
          </w:p>
        </w:tc>
      </w:tr>
    </w:tbl>
    <w:p>
      <w:pPr>
        <w:pStyle w:val="Heading1"/>
      </w:pPr>
      <w:r>
        <w:t>3. Target Variable Distribution</w:t>
      </w:r>
    </w:p>
    <w:p>
      <w:pPr>
        <w:pStyle w:val="Caption"/>
      </w:pPr>
      <w:r>
        <w:t>Table 3. Stroke target distribution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
              <w:rPr>
                <w:b/>
                <w:color w:val="FFFFFF"/>
              </w:rPr>
              <w:t>Stroke class</w:t>
            </w:r>
          </w:p>
        </w:tc>
        <w:tc>
          <w:tcPr>
            <w:tcW w:type="dxa" w:w="2592"/>
            <w:vAlign w:val="center"/>
            <w:shd w:fill="1F4E79"/>
          </w:tcPr>
          <w:p>
            <w:r/>
            <w:r>
              <w:rPr>
                <w:b/>
                <w:color w:val="FFFFFF"/>
              </w:rPr>
              <w:t>Meaning</w:t>
            </w:r>
          </w:p>
        </w:tc>
        <w:tc>
          <w:tcPr>
            <w:tcW w:type="dxa" w:w="2592"/>
            <w:vAlign w:val="center"/>
            <w:shd w:fill="1F4E79"/>
          </w:tcPr>
          <w:p>
            <w:r/>
            <w:r>
              <w:rPr>
                <w:b/>
                <w:color w:val="FFFFFF"/>
              </w:rPr>
              <w:t>Count</w:t>
            </w:r>
          </w:p>
        </w:tc>
        <w:tc>
          <w:tcPr>
            <w:tcW w:type="dxa" w:w="2592"/>
            <w:vAlign w:val="center"/>
            <w:shd w:fill="1F4E79"/>
          </w:tcPr>
          <w:p>
            <w:r/>
            <w:r>
              <w:rPr>
                <w:b/>
                <w:color w:val="FFFFFF"/>
              </w:rPr>
              <w:t>Percentage</w:t>
            </w:r>
          </w:p>
        </w:tc>
      </w:tr>
      <w:tr>
        <w:tc>
          <w:tcPr>
            <w:tcW w:type="dxa" w:w="2592"/>
            <w:vAlign w:val="center"/>
          </w:tcPr>
          <w:p>
            <w:r/>
            <w:r>
              <w:rPr>
                <w:b w:val="0"/>
              </w:rPr>
              <w:t>0</w:t>
            </w:r>
          </w:p>
        </w:tc>
        <w:tc>
          <w:tcPr>
            <w:tcW w:type="dxa" w:w="2592"/>
            <w:vAlign w:val="center"/>
          </w:tcPr>
          <w:p>
            <w:r/>
            <w:r>
              <w:rPr>
                <w:b w:val="0"/>
              </w:rPr>
              <w:t>No Stroke</w:t>
            </w:r>
          </w:p>
        </w:tc>
        <w:tc>
          <w:tcPr>
            <w:tcW w:type="dxa" w:w="2592"/>
            <w:vAlign w:val="center"/>
          </w:tcPr>
          <w:p>
            <w:r/>
            <w:r>
              <w:rPr>
                <w:b w:val="0"/>
              </w:rPr>
              <w:t>4733</w:t>
            </w:r>
          </w:p>
        </w:tc>
        <w:tc>
          <w:tcPr>
            <w:tcW w:type="dxa" w:w="2592"/>
            <w:vAlign w:val="center"/>
          </w:tcPr>
          <w:p>
            <w:r/>
            <w:r>
              <w:rPr>
                <w:b w:val="0"/>
              </w:rPr>
              <w:t>95.02%</w:t>
            </w:r>
          </w:p>
        </w:tc>
      </w:tr>
      <w:tr>
        <w:tc>
          <w:tcPr>
            <w:tcW w:type="dxa" w:w="2592"/>
            <w:vAlign w:val="center"/>
          </w:tcPr>
          <w:p>
            <w:r/>
            <w:r>
              <w:rPr>
                <w:b w:val="0"/>
              </w:rPr>
              <w:t>1</w:t>
            </w:r>
          </w:p>
        </w:tc>
        <w:tc>
          <w:tcPr>
            <w:tcW w:type="dxa" w:w="2592"/>
            <w:vAlign w:val="center"/>
          </w:tcPr>
          <w:p>
            <w:r/>
            <w:r>
              <w:rPr>
                <w:b w:val="0"/>
              </w:rPr>
              <w:t>Stroke</w:t>
            </w:r>
          </w:p>
        </w:tc>
        <w:tc>
          <w:tcPr>
            <w:tcW w:type="dxa" w:w="2592"/>
            <w:vAlign w:val="center"/>
          </w:tcPr>
          <w:p>
            <w:r/>
            <w:r>
              <w:rPr>
                <w:b w:val="0"/>
              </w:rPr>
              <w:t>248</w:t>
            </w:r>
          </w:p>
        </w:tc>
        <w:tc>
          <w:tcPr>
            <w:tcW w:type="dxa" w:w="2592"/>
            <w:vAlign w:val="center"/>
          </w:tcPr>
          <w:p>
            <w:r/>
            <w:r>
              <w:rPr>
                <w:b w:val="0"/>
              </w:rPr>
              <w:t>4.98%</w:t>
            </w:r>
          </w:p>
        </w:tc>
      </w:tr>
    </w:tbl>
    <w:p>
      <w:pPr>
        <w:jc w:val="center"/>
      </w:pPr>
      <w:r>
        <w:drawing>
          <wp:inline xmlns:a="http://schemas.openxmlformats.org/drawingml/2006/main" xmlns:pic="http://schemas.openxmlformats.org/drawingml/2006/picture">
            <wp:extent cx="5669280" cy="4022771"/>
            <wp:docPr id="1" name="Picture 1"/>
            <wp:cNvGraphicFramePr>
              <a:graphicFrameLocks noChangeAspect="1"/>
            </wp:cNvGraphicFramePr>
            <a:graphic>
              <a:graphicData uri="http://schemas.openxmlformats.org/drawingml/2006/picture">
                <pic:pic>
                  <pic:nvPicPr>
                    <pic:cNvPr id="0" name="01_stroke_distribution.png"/>
                    <pic:cNvPicPr/>
                  </pic:nvPicPr>
                  <pic:blipFill>
                    <a:blip r:embed="rId9"/>
                    <a:stretch>
                      <a:fillRect/>
                    </a:stretch>
                  </pic:blipFill>
                  <pic:spPr>
                    <a:xfrm>
                      <a:off x="0" y="0"/>
                      <a:ext cx="5669280" cy="4022771"/>
                    </a:xfrm>
                    <a:prstGeom prst="rect"/>
                  </pic:spPr>
                </pic:pic>
              </a:graphicData>
            </a:graphic>
          </wp:inline>
        </w:drawing>
      </w:r>
    </w:p>
    <w:p>
      <w:pPr>
        <w:pStyle w:val="Caption"/>
        <w:jc w:val="center"/>
      </w:pPr>
      <w:r>
        <w:t>Figure 1. Stroke distribution in the original dataset.</w:t>
      </w:r>
    </w:p>
    <w:p>
      <w:pPr>
        <w:pStyle w:val="Heading1"/>
      </w:pPr>
      <w:r>
        <w:t>4. Numerical Descriptive Summary</w:t>
      </w:r>
    </w:p>
    <w:p>
      <w:r>
        <w:t>Stroke patients were older on average (67.8 years) than non-stroke patients (42.1 years). They also had higher average glucose (132.2 vs 104.6) and higher average BMI (30.2 vs 28.4).</w:t>
      </w:r>
    </w:p>
    <w:p>
      <w:pPr>
        <w:pStyle w:val="Caption"/>
      </w:pPr>
      <w:r>
        <w:t>Table 4. Key numerical averages by stroke status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
              <w:rPr>
                <w:b/>
                <w:color w:val="FFFFFF"/>
              </w:rPr>
              <w:t>Metric</w:t>
            </w:r>
          </w:p>
        </w:tc>
        <w:tc>
          <w:tcPr>
            <w:tcW w:type="dxa" w:w="3456"/>
            <w:vAlign w:val="center"/>
            <w:shd w:fill="1F4E79"/>
          </w:tcPr>
          <w:p>
            <w:r/>
            <w:r>
              <w:rPr>
                <w:b/>
                <w:color w:val="FFFFFF"/>
              </w:rPr>
              <w:t>No Stroke</w:t>
            </w:r>
          </w:p>
        </w:tc>
        <w:tc>
          <w:tcPr>
            <w:tcW w:type="dxa" w:w="3456"/>
            <w:vAlign w:val="center"/>
            <w:shd w:fill="1F4E79"/>
          </w:tcPr>
          <w:p>
            <w:r/>
            <w:r>
              <w:rPr>
                <w:b/>
                <w:color w:val="FFFFFF"/>
              </w:rPr>
              <w:t>Stroke</w:t>
            </w:r>
          </w:p>
        </w:tc>
      </w:tr>
      <w:tr>
        <w:tc>
          <w:tcPr>
            <w:tcW w:type="dxa" w:w="3456"/>
            <w:vAlign w:val="center"/>
          </w:tcPr>
          <w:p>
            <w:r/>
            <w:r>
              <w:rPr>
                <w:b w:val="0"/>
              </w:rPr>
              <w:t>Average age</w:t>
            </w:r>
          </w:p>
        </w:tc>
        <w:tc>
          <w:tcPr>
            <w:tcW w:type="dxa" w:w="3456"/>
            <w:vAlign w:val="center"/>
          </w:tcPr>
          <w:p>
            <w:r/>
            <w:r>
              <w:rPr>
                <w:b w:val="0"/>
              </w:rPr>
              <w:t>42.14</w:t>
            </w:r>
          </w:p>
        </w:tc>
        <w:tc>
          <w:tcPr>
            <w:tcW w:type="dxa" w:w="3456"/>
            <w:vAlign w:val="center"/>
          </w:tcPr>
          <w:p>
            <w:r/>
            <w:r>
              <w:rPr>
                <w:b w:val="0"/>
              </w:rPr>
              <w:t>67.82</w:t>
            </w:r>
          </w:p>
        </w:tc>
      </w:tr>
      <w:tr>
        <w:tc>
          <w:tcPr>
            <w:tcW w:type="dxa" w:w="3456"/>
            <w:vAlign w:val="center"/>
          </w:tcPr>
          <w:p>
            <w:r/>
            <w:r>
              <w:rPr>
                <w:b w:val="0"/>
              </w:rPr>
              <w:t>Average glucose level</w:t>
            </w:r>
          </w:p>
        </w:tc>
        <w:tc>
          <w:tcPr>
            <w:tcW w:type="dxa" w:w="3456"/>
            <w:vAlign w:val="center"/>
          </w:tcPr>
          <w:p>
            <w:r/>
            <w:r>
              <w:rPr>
                <w:b w:val="0"/>
              </w:rPr>
              <w:t>104.57</w:t>
            </w:r>
          </w:p>
        </w:tc>
        <w:tc>
          <w:tcPr>
            <w:tcW w:type="dxa" w:w="3456"/>
            <w:vAlign w:val="center"/>
          </w:tcPr>
          <w:p>
            <w:r/>
            <w:r>
              <w:rPr>
                <w:b w:val="0"/>
              </w:rPr>
              <w:t>132.18</w:t>
            </w:r>
          </w:p>
        </w:tc>
      </w:tr>
      <w:tr>
        <w:tc>
          <w:tcPr>
            <w:tcW w:type="dxa" w:w="3456"/>
            <w:vAlign w:val="center"/>
          </w:tcPr>
          <w:p>
            <w:r/>
            <w:r>
              <w:rPr>
                <w:b w:val="0"/>
              </w:rPr>
              <w:t>Average BMI</w:t>
            </w:r>
          </w:p>
        </w:tc>
        <w:tc>
          <w:tcPr>
            <w:tcW w:type="dxa" w:w="3456"/>
            <w:vAlign w:val="center"/>
          </w:tcPr>
          <w:p>
            <w:r/>
            <w:r>
              <w:rPr>
                <w:b w:val="0"/>
              </w:rPr>
              <w:t>28.41</w:t>
            </w:r>
          </w:p>
        </w:tc>
        <w:tc>
          <w:tcPr>
            <w:tcW w:type="dxa" w:w="3456"/>
            <w:vAlign w:val="center"/>
          </w:tcPr>
          <w:p>
            <w:r/>
            <w:r>
              <w:rPr>
                <w:b w:val="0"/>
              </w:rPr>
              <w:t>30.19</w:t>
            </w:r>
          </w:p>
        </w:tc>
      </w:tr>
    </w:tbl>
    <w:p>
      <w:pPr>
        <w:jc w:val="center"/>
      </w:pPr>
      <w:r>
        <w:drawing>
          <wp:inline xmlns:a="http://schemas.openxmlformats.org/drawingml/2006/main" xmlns:pic="http://schemas.openxmlformats.org/drawingml/2006/picture">
            <wp:extent cx="5669280" cy="3509934"/>
            <wp:docPr id="2" name="Picture 2"/>
            <wp:cNvGraphicFramePr>
              <a:graphicFrameLocks noChangeAspect="1"/>
            </wp:cNvGraphicFramePr>
            <a:graphic>
              <a:graphicData uri="http://schemas.openxmlformats.org/drawingml/2006/picture">
                <pic:pic>
                  <pic:nvPicPr>
                    <pic:cNvPr id="0" name="02_age_boxplot_by_stroke.png"/>
                    <pic:cNvPicPr/>
                  </pic:nvPicPr>
                  <pic:blipFill>
                    <a:blip r:embed="rId10"/>
                    <a:stretch>
                      <a:fillRect/>
                    </a:stretch>
                  </pic:blipFill>
                  <pic:spPr>
                    <a:xfrm>
                      <a:off x="0" y="0"/>
                      <a:ext cx="5669280" cy="3509934"/>
                    </a:xfrm>
                    <a:prstGeom prst="rect"/>
                  </pic:spPr>
                </pic:pic>
              </a:graphicData>
            </a:graphic>
          </wp:inline>
        </w:drawing>
      </w:r>
    </w:p>
    <w:p>
      <w:pPr>
        <w:pStyle w:val="Caption"/>
        <w:jc w:val="center"/>
      </w:pPr>
      <w:r>
        <w:t>Figure 2. Age distribution by stroke status.</w:t>
      </w:r>
    </w:p>
    <w:p>
      <w:pPr>
        <w:jc w:val="center"/>
      </w:pPr>
      <w:r>
        <w:drawing>
          <wp:inline xmlns:a="http://schemas.openxmlformats.org/drawingml/2006/main" xmlns:pic="http://schemas.openxmlformats.org/drawingml/2006/picture">
            <wp:extent cx="5669280" cy="3509934"/>
            <wp:docPr id="3" name="Picture 3"/>
            <wp:cNvGraphicFramePr>
              <a:graphicFrameLocks noChangeAspect="1"/>
            </wp:cNvGraphicFramePr>
            <a:graphic>
              <a:graphicData uri="http://schemas.openxmlformats.org/drawingml/2006/picture">
                <pic:pic>
                  <pic:nvPicPr>
                    <pic:cNvPr id="0" name="04_glucose_boxplot_by_stroke.png"/>
                    <pic:cNvPicPr/>
                  </pic:nvPicPr>
                  <pic:blipFill>
                    <a:blip r:embed="rId11"/>
                    <a:stretch>
                      <a:fillRect/>
                    </a:stretch>
                  </pic:blipFill>
                  <pic:spPr>
                    <a:xfrm>
                      <a:off x="0" y="0"/>
                      <a:ext cx="5669280" cy="3509934"/>
                    </a:xfrm>
                    <a:prstGeom prst="rect"/>
                  </pic:spPr>
                </pic:pic>
              </a:graphicData>
            </a:graphic>
          </wp:inline>
        </w:drawing>
      </w:r>
    </w:p>
    <w:p>
      <w:pPr>
        <w:pStyle w:val="Caption"/>
        <w:jc w:val="center"/>
      </w:pPr>
      <w:r>
        <w:t>Figure 3. Average glucose level by stroke status.</w:t>
      </w:r>
    </w:p>
    <w:p>
      <w:pPr>
        <w:jc w:val="center"/>
      </w:pPr>
      <w:r>
        <w:drawing>
          <wp:inline xmlns:a="http://schemas.openxmlformats.org/drawingml/2006/main" xmlns:pic="http://schemas.openxmlformats.org/drawingml/2006/picture">
            <wp:extent cx="5669280" cy="3509934"/>
            <wp:docPr id="4" name="Picture 4"/>
            <wp:cNvGraphicFramePr>
              <a:graphicFrameLocks noChangeAspect="1"/>
            </wp:cNvGraphicFramePr>
            <a:graphic>
              <a:graphicData uri="http://schemas.openxmlformats.org/drawingml/2006/picture">
                <pic:pic>
                  <pic:nvPicPr>
                    <pic:cNvPr id="0" name="05_bmi_boxplot_by_stroke.png"/>
                    <pic:cNvPicPr/>
                  </pic:nvPicPr>
                  <pic:blipFill>
                    <a:blip r:embed="rId12"/>
                    <a:stretch>
                      <a:fillRect/>
                    </a:stretch>
                  </pic:blipFill>
                  <pic:spPr>
                    <a:xfrm>
                      <a:off x="0" y="0"/>
                      <a:ext cx="5669280" cy="3509934"/>
                    </a:xfrm>
                    <a:prstGeom prst="rect"/>
                  </pic:spPr>
                </pic:pic>
              </a:graphicData>
            </a:graphic>
          </wp:inline>
        </w:drawing>
      </w:r>
    </w:p>
    <w:p>
      <w:pPr>
        <w:pStyle w:val="Caption"/>
        <w:jc w:val="center"/>
      </w:pPr>
      <w:r>
        <w:t>Figure 4. BMI distribution by stroke status.</w:t>
      </w:r>
    </w:p>
    <w:p>
      <w:pPr>
        <w:pStyle w:val="Heading1"/>
      </w:pPr>
      <w:r>
        <w:t>5. Stroke Rates by Patient Characteristics</w:t>
      </w:r>
    </w:p>
    <w:p>
      <w:r>
        <w:t>Stroke rates were summarized across clinically relevant groupings. The highest observed rate was among seniors aged 66+, followed by patients with heart disease, patients with hypertension, and patients with glucose level 126+.</w:t>
      </w:r>
    </w:p>
    <w:p>
      <w:pPr>
        <w:pStyle w:val="Caption"/>
      </w:pPr>
      <w:r>
        <w:t>Table 5. Stroke rate by age group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
              <w:rPr>
                <w:b/>
                <w:color w:val="FFFFFF"/>
              </w:rPr>
              <w:t>Age group</w:t>
            </w:r>
          </w:p>
        </w:tc>
        <w:tc>
          <w:tcPr>
            <w:tcW w:type="dxa" w:w="2592"/>
            <w:vAlign w:val="center"/>
            <w:shd w:fill="1F4E79"/>
          </w:tcPr>
          <w:p>
            <w:r/>
            <w:r>
              <w:rPr>
                <w:b/>
                <w:color w:val="FFFFFF"/>
              </w:rPr>
              <w:t>Patients</w:t>
            </w:r>
          </w:p>
        </w:tc>
        <w:tc>
          <w:tcPr>
            <w:tcW w:type="dxa" w:w="2592"/>
            <w:vAlign w:val="center"/>
            <w:shd w:fill="1F4E79"/>
          </w:tcPr>
          <w:p>
            <w:r/>
            <w:r>
              <w:rPr>
                <w:b/>
                <w:color w:val="FFFFFF"/>
              </w:rPr>
              <w:t>Stroke cases</w:t>
            </w:r>
          </w:p>
        </w:tc>
        <w:tc>
          <w:tcPr>
            <w:tcW w:type="dxa" w:w="2592"/>
            <w:vAlign w:val="center"/>
            <w:shd w:fill="1F4E79"/>
          </w:tcPr>
          <w:p>
            <w:r/>
            <w:r>
              <w:rPr>
                <w:b/>
                <w:color w:val="FFFFFF"/>
              </w:rPr>
              <w:t>Stroke rate (%)</w:t>
            </w:r>
          </w:p>
        </w:tc>
      </w:tr>
      <w:tr>
        <w:tc>
          <w:tcPr>
            <w:tcW w:type="dxa" w:w="2592"/>
            <w:vAlign w:val="center"/>
          </w:tcPr>
          <w:p>
            <w:r/>
            <w:r>
              <w:rPr>
                <w:b w:val="0"/>
              </w:rPr>
              <w:t>Child (0-12)</w:t>
            </w:r>
          </w:p>
        </w:tc>
        <w:tc>
          <w:tcPr>
            <w:tcW w:type="dxa" w:w="2592"/>
            <w:vAlign w:val="center"/>
          </w:tcPr>
          <w:p>
            <w:r/>
            <w:r>
              <w:rPr>
                <w:b w:val="0"/>
              </w:rPr>
              <w:t>574</w:t>
            </w:r>
          </w:p>
        </w:tc>
        <w:tc>
          <w:tcPr>
            <w:tcW w:type="dxa" w:w="2592"/>
            <w:vAlign w:val="center"/>
          </w:tcPr>
          <w:p>
            <w:r/>
            <w:r>
              <w:rPr>
                <w:b w:val="0"/>
              </w:rPr>
              <w:t>1</w:t>
            </w:r>
          </w:p>
        </w:tc>
        <w:tc>
          <w:tcPr>
            <w:tcW w:type="dxa" w:w="2592"/>
            <w:vAlign w:val="center"/>
          </w:tcPr>
          <w:p>
            <w:r/>
            <w:r>
              <w:rPr>
                <w:b w:val="0"/>
              </w:rPr>
              <w:t>0.2%</w:t>
            </w:r>
          </w:p>
        </w:tc>
      </w:tr>
      <w:tr>
        <w:tc>
          <w:tcPr>
            <w:tcW w:type="dxa" w:w="2592"/>
            <w:vAlign w:val="center"/>
          </w:tcPr>
          <w:p>
            <w:r/>
            <w:r>
              <w:rPr>
                <w:b w:val="0"/>
              </w:rPr>
              <w:t>Teen (13-18)</w:t>
            </w:r>
          </w:p>
        </w:tc>
        <w:tc>
          <w:tcPr>
            <w:tcW w:type="dxa" w:w="2592"/>
            <w:vAlign w:val="center"/>
          </w:tcPr>
          <w:p>
            <w:r/>
            <w:r>
              <w:rPr>
                <w:b w:val="0"/>
              </w:rPr>
              <w:t>306</w:t>
            </w:r>
          </w:p>
        </w:tc>
        <w:tc>
          <w:tcPr>
            <w:tcW w:type="dxa" w:w="2592"/>
            <w:vAlign w:val="center"/>
          </w:tcPr>
          <w:p>
            <w:r/>
            <w:r>
              <w:rPr>
                <w:b w:val="0"/>
              </w:rPr>
              <w:t>1</w:t>
            </w:r>
          </w:p>
        </w:tc>
        <w:tc>
          <w:tcPr>
            <w:tcW w:type="dxa" w:w="2592"/>
            <w:vAlign w:val="center"/>
          </w:tcPr>
          <w:p>
            <w:r/>
            <w:r>
              <w:rPr>
                <w:b w:val="0"/>
              </w:rPr>
              <w:t>0.3%</w:t>
            </w:r>
          </w:p>
        </w:tc>
      </w:tr>
      <w:tr>
        <w:tc>
          <w:tcPr>
            <w:tcW w:type="dxa" w:w="2592"/>
            <w:vAlign w:val="center"/>
          </w:tcPr>
          <w:p>
            <w:r/>
            <w:r>
              <w:rPr>
                <w:b w:val="0"/>
              </w:rPr>
              <w:t>Young adult (19-35)</w:t>
            </w:r>
          </w:p>
        </w:tc>
        <w:tc>
          <w:tcPr>
            <w:tcW w:type="dxa" w:w="2592"/>
            <w:vAlign w:val="center"/>
          </w:tcPr>
          <w:p>
            <w:r/>
            <w:r>
              <w:rPr>
                <w:b w:val="0"/>
              </w:rPr>
              <w:t>961</w:t>
            </w:r>
          </w:p>
        </w:tc>
        <w:tc>
          <w:tcPr>
            <w:tcW w:type="dxa" w:w="2592"/>
            <w:vAlign w:val="center"/>
          </w:tcPr>
          <w:p>
            <w:r/>
            <w:r>
              <w:rPr>
                <w:b w:val="0"/>
              </w:rPr>
              <w:t>1</w:t>
            </w:r>
          </w:p>
        </w:tc>
        <w:tc>
          <w:tcPr>
            <w:tcW w:type="dxa" w:w="2592"/>
            <w:vAlign w:val="center"/>
          </w:tcPr>
          <w:p>
            <w:r/>
            <w:r>
              <w:rPr>
                <w:b w:val="0"/>
              </w:rPr>
              <w:t>0.1%</w:t>
            </w:r>
          </w:p>
        </w:tc>
      </w:tr>
      <w:tr>
        <w:tc>
          <w:tcPr>
            <w:tcW w:type="dxa" w:w="2592"/>
            <w:vAlign w:val="center"/>
          </w:tcPr>
          <w:p>
            <w:r/>
            <w:r>
              <w:rPr>
                <w:b w:val="0"/>
              </w:rPr>
              <w:t>Adult (36-50)</w:t>
            </w:r>
          </w:p>
        </w:tc>
        <w:tc>
          <w:tcPr>
            <w:tcW w:type="dxa" w:w="2592"/>
            <w:vAlign w:val="center"/>
          </w:tcPr>
          <w:p>
            <w:r/>
            <w:r>
              <w:rPr>
                <w:b w:val="0"/>
              </w:rPr>
              <w:t>1047</w:t>
            </w:r>
          </w:p>
        </w:tc>
        <w:tc>
          <w:tcPr>
            <w:tcW w:type="dxa" w:w="2592"/>
            <w:vAlign w:val="center"/>
          </w:tcPr>
          <w:p>
            <w:r/>
            <w:r>
              <w:rPr>
                <w:b w:val="0"/>
              </w:rPr>
              <w:t>19</w:t>
            </w:r>
          </w:p>
        </w:tc>
        <w:tc>
          <w:tcPr>
            <w:tcW w:type="dxa" w:w="2592"/>
            <w:vAlign w:val="center"/>
          </w:tcPr>
          <w:p>
            <w:r/>
            <w:r>
              <w:rPr>
                <w:b w:val="0"/>
              </w:rPr>
              <w:t>1.8%</w:t>
            </w:r>
          </w:p>
        </w:tc>
      </w:tr>
      <w:tr>
        <w:tc>
          <w:tcPr>
            <w:tcW w:type="dxa" w:w="2592"/>
            <w:vAlign w:val="center"/>
          </w:tcPr>
          <w:p>
            <w:r/>
            <w:r>
              <w:rPr>
                <w:b w:val="0"/>
              </w:rPr>
              <w:t>Older adult (51-65)</w:t>
            </w:r>
          </w:p>
        </w:tc>
        <w:tc>
          <w:tcPr>
            <w:tcW w:type="dxa" w:w="2592"/>
            <w:vAlign w:val="center"/>
          </w:tcPr>
          <w:p>
            <w:r/>
            <w:r>
              <w:rPr>
                <w:b w:val="0"/>
              </w:rPr>
              <w:t>1134</w:t>
            </w:r>
          </w:p>
        </w:tc>
        <w:tc>
          <w:tcPr>
            <w:tcW w:type="dxa" w:w="2592"/>
            <w:vAlign w:val="center"/>
          </w:tcPr>
          <w:p>
            <w:r/>
            <w:r>
              <w:rPr>
                <w:b w:val="0"/>
              </w:rPr>
              <w:t>70</w:t>
            </w:r>
          </w:p>
        </w:tc>
        <w:tc>
          <w:tcPr>
            <w:tcW w:type="dxa" w:w="2592"/>
            <w:vAlign w:val="center"/>
          </w:tcPr>
          <w:p>
            <w:r/>
            <w:r>
              <w:rPr>
                <w:b w:val="0"/>
              </w:rPr>
              <w:t>6.2%</w:t>
            </w:r>
          </w:p>
        </w:tc>
      </w:tr>
      <w:tr>
        <w:tc>
          <w:tcPr>
            <w:tcW w:type="dxa" w:w="2592"/>
            <w:vAlign w:val="center"/>
          </w:tcPr>
          <w:p>
            <w:r/>
            <w:r>
              <w:rPr>
                <w:b w:val="0"/>
              </w:rPr>
              <w:t>Senior (66+)</w:t>
            </w:r>
          </w:p>
        </w:tc>
        <w:tc>
          <w:tcPr>
            <w:tcW w:type="dxa" w:w="2592"/>
            <w:vAlign w:val="center"/>
          </w:tcPr>
          <w:p>
            <w:r/>
            <w:r>
              <w:rPr>
                <w:b w:val="0"/>
              </w:rPr>
              <w:t>959</w:t>
            </w:r>
          </w:p>
        </w:tc>
        <w:tc>
          <w:tcPr>
            <w:tcW w:type="dxa" w:w="2592"/>
            <w:vAlign w:val="center"/>
          </w:tcPr>
          <w:p>
            <w:r/>
            <w:r>
              <w:rPr>
                <w:b w:val="0"/>
              </w:rPr>
              <w:t>156</w:t>
            </w:r>
          </w:p>
        </w:tc>
        <w:tc>
          <w:tcPr>
            <w:tcW w:type="dxa" w:w="2592"/>
            <w:vAlign w:val="center"/>
          </w:tcPr>
          <w:p>
            <w:r/>
            <w:r>
              <w:rPr>
                <w:b w:val="0"/>
              </w:rPr>
              <w:t>16.3%</w:t>
            </w:r>
          </w:p>
        </w:tc>
      </w:tr>
    </w:tbl>
    <w:p>
      <w:pPr>
        <w:jc w:val="center"/>
      </w:pPr>
      <w:r>
        <w:drawing>
          <wp:inline xmlns:a="http://schemas.openxmlformats.org/drawingml/2006/main" xmlns:pic="http://schemas.openxmlformats.org/drawingml/2006/picture">
            <wp:extent cx="5669280" cy="3117750"/>
            <wp:docPr id="5" name="Picture 5"/>
            <wp:cNvGraphicFramePr>
              <a:graphicFrameLocks noChangeAspect="1"/>
            </wp:cNvGraphicFramePr>
            <a:graphic>
              <a:graphicData uri="http://schemas.openxmlformats.org/drawingml/2006/picture">
                <pic:pic>
                  <pic:nvPicPr>
                    <pic:cNvPr id="0" name="03_stroke_rate_by_age_group.png"/>
                    <pic:cNvPicPr/>
                  </pic:nvPicPr>
                  <pic:blipFill>
                    <a:blip r:embed="rId13"/>
                    <a:stretch>
                      <a:fillRect/>
                    </a:stretch>
                  </pic:blipFill>
                  <pic:spPr>
                    <a:xfrm>
                      <a:off x="0" y="0"/>
                      <a:ext cx="5669280" cy="3117750"/>
                    </a:xfrm>
                    <a:prstGeom prst="rect"/>
                  </pic:spPr>
                </pic:pic>
              </a:graphicData>
            </a:graphic>
          </wp:inline>
        </w:drawing>
      </w:r>
    </w:p>
    <w:p>
      <w:pPr>
        <w:pStyle w:val="Caption"/>
        <w:jc w:val="center"/>
      </w:pPr>
      <w:r>
        <w:t>Figure 5. Stroke rate by age group.</w:t>
      </w:r>
    </w:p>
    <w:p>
      <w:pPr>
        <w:pStyle w:val="Caption"/>
      </w:pPr>
      <w:r>
        <w:t>Table 6. Stroke rate by medical risk factor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
              <w:rPr>
                <w:b/>
                <w:color w:val="FFFFFF"/>
              </w:rPr>
              <w:t>Risk factor</w:t>
            </w:r>
          </w:p>
        </w:tc>
        <w:tc>
          <w:tcPr>
            <w:tcW w:type="dxa" w:w="5184"/>
            <w:vAlign w:val="center"/>
            <w:shd w:fill="1F4E79"/>
          </w:tcPr>
          <w:p>
            <w:r/>
            <w:r>
              <w:rPr>
                <w:b/>
                <w:color w:val="FFFFFF"/>
              </w:rPr>
              <w:t>Stroke rate (%)</w:t>
            </w:r>
          </w:p>
        </w:tc>
      </w:tr>
      <w:tr>
        <w:tc>
          <w:tcPr>
            <w:tcW w:type="dxa" w:w="5184"/>
            <w:vAlign w:val="center"/>
          </w:tcPr>
          <w:p>
            <w:r/>
            <w:r>
              <w:rPr>
                <w:b w:val="0"/>
              </w:rPr>
              <w:t>Hypertension</w:t>
            </w:r>
          </w:p>
        </w:tc>
        <w:tc>
          <w:tcPr>
            <w:tcW w:type="dxa" w:w="5184"/>
            <w:vAlign w:val="center"/>
          </w:tcPr>
          <w:p>
            <w:r/>
            <w:r>
              <w:rPr>
                <w:b w:val="0"/>
              </w:rPr>
              <w:t>13.8%</w:t>
            </w:r>
          </w:p>
        </w:tc>
      </w:tr>
      <w:tr>
        <w:tc>
          <w:tcPr>
            <w:tcW w:type="dxa" w:w="5184"/>
            <w:vAlign w:val="center"/>
          </w:tcPr>
          <w:p>
            <w:r/>
            <w:r>
              <w:rPr>
                <w:b w:val="0"/>
              </w:rPr>
              <w:t>No hypertension</w:t>
            </w:r>
          </w:p>
        </w:tc>
        <w:tc>
          <w:tcPr>
            <w:tcW w:type="dxa" w:w="5184"/>
            <w:vAlign w:val="center"/>
          </w:tcPr>
          <w:p>
            <w:r/>
            <w:r>
              <w:rPr>
                <w:b w:val="0"/>
              </w:rPr>
              <w:t>4.0%</w:t>
            </w:r>
          </w:p>
        </w:tc>
      </w:tr>
      <w:tr>
        <w:tc>
          <w:tcPr>
            <w:tcW w:type="dxa" w:w="5184"/>
            <w:vAlign w:val="center"/>
          </w:tcPr>
          <w:p>
            <w:r/>
            <w:r>
              <w:rPr>
                <w:b w:val="0"/>
              </w:rPr>
              <w:t>Heart disease</w:t>
            </w:r>
          </w:p>
        </w:tc>
        <w:tc>
          <w:tcPr>
            <w:tcW w:type="dxa" w:w="5184"/>
            <w:vAlign w:val="center"/>
          </w:tcPr>
          <w:p>
            <w:r/>
            <w:r>
              <w:rPr>
                <w:b w:val="0"/>
              </w:rPr>
              <w:t>17.1%</w:t>
            </w:r>
          </w:p>
        </w:tc>
      </w:tr>
      <w:tr>
        <w:tc>
          <w:tcPr>
            <w:tcW w:type="dxa" w:w="5184"/>
            <w:vAlign w:val="center"/>
          </w:tcPr>
          <w:p>
            <w:r/>
            <w:r>
              <w:rPr>
                <w:b w:val="0"/>
              </w:rPr>
              <w:t>No heart disease</w:t>
            </w:r>
          </w:p>
        </w:tc>
        <w:tc>
          <w:tcPr>
            <w:tcW w:type="dxa" w:w="5184"/>
            <w:vAlign w:val="center"/>
          </w:tcPr>
          <w:p>
            <w:r/>
            <w:r>
              <w:rPr>
                <w:b w:val="0"/>
              </w:rPr>
              <w:t>4.3%</w:t>
            </w:r>
          </w:p>
        </w:tc>
      </w:tr>
    </w:tbl>
    <w:p>
      <w:pPr>
        <w:jc w:val="center"/>
      </w:pPr>
      <w:r>
        <w:drawing>
          <wp:inline xmlns:a="http://schemas.openxmlformats.org/drawingml/2006/main" xmlns:pic="http://schemas.openxmlformats.org/drawingml/2006/picture">
            <wp:extent cx="5669280" cy="3512402"/>
            <wp:docPr id="6" name="Picture 6"/>
            <wp:cNvGraphicFramePr>
              <a:graphicFrameLocks noChangeAspect="1"/>
            </wp:cNvGraphicFramePr>
            <a:graphic>
              <a:graphicData uri="http://schemas.openxmlformats.org/drawingml/2006/picture">
                <pic:pic>
                  <pic:nvPicPr>
                    <pic:cNvPr id="0" name="06_stroke_rate_by_medical_risk_factors.png"/>
                    <pic:cNvPicPr/>
                  </pic:nvPicPr>
                  <pic:blipFill>
                    <a:blip r:embed="rId14"/>
                    <a:stretch>
                      <a:fillRect/>
                    </a:stretch>
                  </pic:blipFill>
                  <pic:spPr>
                    <a:xfrm>
                      <a:off x="0" y="0"/>
                      <a:ext cx="5669280" cy="3512402"/>
                    </a:xfrm>
                    <a:prstGeom prst="rect"/>
                  </pic:spPr>
                </pic:pic>
              </a:graphicData>
            </a:graphic>
          </wp:inline>
        </w:drawing>
      </w:r>
    </w:p>
    <w:p>
      <w:pPr>
        <w:pStyle w:val="Caption"/>
        <w:jc w:val="center"/>
      </w:pPr>
      <w:r>
        <w:t>Figure 6. Stroke rate by medical risk factors.</w:t>
      </w:r>
    </w:p>
    <w:p>
      <w:pPr>
        <w:pStyle w:val="Caption"/>
      </w:pPr>
      <w:r>
        <w:t>Table 7. Stroke rate by smoking status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
              <w:rPr>
                <w:b/>
                <w:color w:val="FFFFFF"/>
              </w:rPr>
              <w:t>Smoking status</w:t>
            </w:r>
          </w:p>
        </w:tc>
        <w:tc>
          <w:tcPr>
            <w:tcW w:type="dxa" w:w="2592"/>
            <w:vAlign w:val="center"/>
            <w:shd w:fill="1F4E79"/>
          </w:tcPr>
          <w:p>
            <w:r/>
            <w:r>
              <w:rPr>
                <w:b/>
                <w:color w:val="FFFFFF"/>
              </w:rPr>
              <w:t>Patients</w:t>
            </w:r>
          </w:p>
        </w:tc>
        <w:tc>
          <w:tcPr>
            <w:tcW w:type="dxa" w:w="2592"/>
            <w:vAlign w:val="center"/>
            <w:shd w:fill="1F4E79"/>
          </w:tcPr>
          <w:p>
            <w:r/>
            <w:r>
              <w:rPr>
                <w:b/>
                <w:color w:val="FFFFFF"/>
              </w:rPr>
              <w:t>Stroke cases</w:t>
            </w:r>
          </w:p>
        </w:tc>
        <w:tc>
          <w:tcPr>
            <w:tcW w:type="dxa" w:w="2592"/>
            <w:vAlign w:val="center"/>
            <w:shd w:fill="1F4E79"/>
          </w:tcPr>
          <w:p>
            <w:r/>
            <w:r>
              <w:rPr>
                <w:b/>
                <w:color w:val="FFFFFF"/>
              </w:rPr>
              <w:t>Stroke rate (%)</w:t>
            </w:r>
          </w:p>
        </w:tc>
      </w:tr>
      <w:tr>
        <w:tc>
          <w:tcPr>
            <w:tcW w:type="dxa" w:w="2592"/>
            <w:vAlign w:val="center"/>
          </w:tcPr>
          <w:p>
            <w:r/>
            <w:r>
              <w:rPr>
                <w:b w:val="0"/>
              </w:rPr>
              <w:t>formerly smoked</w:t>
            </w:r>
          </w:p>
        </w:tc>
        <w:tc>
          <w:tcPr>
            <w:tcW w:type="dxa" w:w="2592"/>
            <w:vAlign w:val="center"/>
          </w:tcPr>
          <w:p>
            <w:r/>
            <w:r>
              <w:rPr>
                <w:b w:val="0"/>
              </w:rPr>
              <w:t>867</w:t>
            </w:r>
          </w:p>
        </w:tc>
        <w:tc>
          <w:tcPr>
            <w:tcW w:type="dxa" w:w="2592"/>
            <w:vAlign w:val="center"/>
          </w:tcPr>
          <w:p>
            <w:r/>
            <w:r>
              <w:rPr>
                <w:b w:val="0"/>
              </w:rPr>
              <w:t>70</w:t>
            </w:r>
          </w:p>
        </w:tc>
        <w:tc>
          <w:tcPr>
            <w:tcW w:type="dxa" w:w="2592"/>
            <w:vAlign w:val="center"/>
          </w:tcPr>
          <w:p>
            <w:r/>
            <w:r>
              <w:rPr>
                <w:b w:val="0"/>
              </w:rPr>
              <w:t>8.1%</w:t>
            </w:r>
          </w:p>
        </w:tc>
      </w:tr>
      <w:tr>
        <w:tc>
          <w:tcPr>
            <w:tcW w:type="dxa" w:w="2592"/>
            <w:vAlign w:val="center"/>
          </w:tcPr>
          <w:p>
            <w:r/>
            <w:r>
              <w:rPr>
                <w:b w:val="0"/>
              </w:rPr>
              <w:t>smokes</w:t>
            </w:r>
          </w:p>
        </w:tc>
        <w:tc>
          <w:tcPr>
            <w:tcW w:type="dxa" w:w="2592"/>
            <w:vAlign w:val="center"/>
          </w:tcPr>
          <w:p>
            <w:r/>
            <w:r>
              <w:rPr>
                <w:b w:val="0"/>
              </w:rPr>
              <w:t>776</w:t>
            </w:r>
          </w:p>
        </w:tc>
        <w:tc>
          <w:tcPr>
            <w:tcW w:type="dxa" w:w="2592"/>
            <w:vAlign w:val="center"/>
          </w:tcPr>
          <w:p>
            <w:r/>
            <w:r>
              <w:rPr>
                <w:b w:val="0"/>
              </w:rPr>
              <w:t>42</w:t>
            </w:r>
          </w:p>
        </w:tc>
        <w:tc>
          <w:tcPr>
            <w:tcW w:type="dxa" w:w="2592"/>
            <w:vAlign w:val="center"/>
          </w:tcPr>
          <w:p>
            <w:r/>
            <w:r>
              <w:rPr>
                <w:b w:val="0"/>
              </w:rPr>
              <w:t>5.4%</w:t>
            </w:r>
          </w:p>
        </w:tc>
      </w:tr>
      <w:tr>
        <w:tc>
          <w:tcPr>
            <w:tcW w:type="dxa" w:w="2592"/>
            <w:vAlign w:val="center"/>
          </w:tcPr>
          <w:p>
            <w:r/>
            <w:r>
              <w:rPr>
                <w:b w:val="0"/>
              </w:rPr>
              <w:t>never smoked</w:t>
            </w:r>
          </w:p>
        </w:tc>
        <w:tc>
          <w:tcPr>
            <w:tcW w:type="dxa" w:w="2592"/>
            <w:vAlign w:val="center"/>
          </w:tcPr>
          <w:p>
            <w:r/>
            <w:r>
              <w:rPr>
                <w:b w:val="0"/>
              </w:rPr>
              <w:t>1838</w:t>
            </w:r>
          </w:p>
        </w:tc>
        <w:tc>
          <w:tcPr>
            <w:tcW w:type="dxa" w:w="2592"/>
            <w:vAlign w:val="center"/>
          </w:tcPr>
          <w:p>
            <w:r/>
            <w:r>
              <w:rPr>
                <w:b w:val="0"/>
              </w:rPr>
              <w:t>89</w:t>
            </w:r>
          </w:p>
        </w:tc>
        <w:tc>
          <w:tcPr>
            <w:tcW w:type="dxa" w:w="2592"/>
            <w:vAlign w:val="center"/>
          </w:tcPr>
          <w:p>
            <w:r/>
            <w:r>
              <w:rPr>
                <w:b w:val="0"/>
              </w:rPr>
              <w:t>4.8%</w:t>
            </w:r>
          </w:p>
        </w:tc>
      </w:tr>
      <w:tr>
        <w:tc>
          <w:tcPr>
            <w:tcW w:type="dxa" w:w="2592"/>
            <w:vAlign w:val="center"/>
          </w:tcPr>
          <w:p>
            <w:r/>
            <w:r>
              <w:rPr>
                <w:b w:val="0"/>
              </w:rPr>
              <w:t>Unknown</w:t>
            </w:r>
          </w:p>
        </w:tc>
        <w:tc>
          <w:tcPr>
            <w:tcW w:type="dxa" w:w="2592"/>
            <w:vAlign w:val="center"/>
          </w:tcPr>
          <w:p>
            <w:r/>
            <w:r>
              <w:rPr>
                <w:b w:val="0"/>
              </w:rPr>
              <w:t>1500</w:t>
            </w:r>
          </w:p>
        </w:tc>
        <w:tc>
          <w:tcPr>
            <w:tcW w:type="dxa" w:w="2592"/>
            <w:vAlign w:val="center"/>
          </w:tcPr>
          <w:p>
            <w:r/>
            <w:r>
              <w:rPr>
                <w:b w:val="0"/>
              </w:rPr>
              <w:t>47</w:t>
            </w:r>
          </w:p>
        </w:tc>
        <w:tc>
          <w:tcPr>
            <w:tcW w:type="dxa" w:w="2592"/>
            <w:vAlign w:val="center"/>
          </w:tcPr>
          <w:p>
            <w:r/>
            <w:r>
              <w:rPr>
                <w:b w:val="0"/>
              </w:rPr>
              <w:t>3.1%</w:t>
            </w:r>
          </w:p>
        </w:tc>
      </w:tr>
    </w:tbl>
    <w:p>
      <w:pPr>
        <w:jc w:val="center"/>
      </w:pPr>
      <w:r>
        <w:drawing>
          <wp:inline xmlns:a="http://schemas.openxmlformats.org/drawingml/2006/main" xmlns:pic="http://schemas.openxmlformats.org/drawingml/2006/picture">
            <wp:extent cx="5669280" cy="3509934"/>
            <wp:docPr id="7" name="Picture 7"/>
            <wp:cNvGraphicFramePr>
              <a:graphicFrameLocks noChangeAspect="1"/>
            </wp:cNvGraphicFramePr>
            <a:graphic>
              <a:graphicData uri="http://schemas.openxmlformats.org/drawingml/2006/picture">
                <pic:pic>
                  <pic:nvPicPr>
                    <pic:cNvPr id="0" name="07_stroke_rate_by_smoking_status.png"/>
                    <pic:cNvPicPr/>
                  </pic:nvPicPr>
                  <pic:blipFill>
                    <a:blip r:embed="rId15"/>
                    <a:stretch>
                      <a:fillRect/>
                    </a:stretch>
                  </pic:blipFill>
                  <pic:spPr>
                    <a:xfrm>
                      <a:off x="0" y="0"/>
                      <a:ext cx="5669280" cy="3509934"/>
                    </a:xfrm>
                    <a:prstGeom prst="rect"/>
                  </pic:spPr>
                </pic:pic>
              </a:graphicData>
            </a:graphic>
          </wp:inline>
        </w:drawing>
      </w:r>
    </w:p>
    <w:p>
      <w:pPr>
        <w:pStyle w:val="Caption"/>
        <w:jc w:val="center"/>
      </w:pPr>
      <w:r>
        <w:t>Figure 7. Stroke rate by smoking status.</w:t>
      </w:r>
    </w:p>
    <w:p>
      <w:pPr>
        <w:pStyle w:val="Caption"/>
      </w:pPr>
      <w:r>
        <w:t>Table 8. Stroke rate by glucose category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
              <w:rPr>
                <w:b/>
                <w:color w:val="FFFFFF"/>
              </w:rPr>
              <w:t>Glucose category</w:t>
            </w:r>
          </w:p>
        </w:tc>
        <w:tc>
          <w:tcPr>
            <w:tcW w:type="dxa" w:w="2592"/>
            <w:vAlign w:val="center"/>
            <w:shd w:fill="1F4E79"/>
          </w:tcPr>
          <w:p>
            <w:r/>
            <w:r>
              <w:rPr>
                <w:b/>
                <w:color w:val="FFFFFF"/>
              </w:rPr>
              <w:t>Patients</w:t>
            </w:r>
          </w:p>
        </w:tc>
        <w:tc>
          <w:tcPr>
            <w:tcW w:type="dxa" w:w="2592"/>
            <w:vAlign w:val="center"/>
            <w:shd w:fill="1F4E79"/>
          </w:tcPr>
          <w:p>
            <w:r/>
            <w:r>
              <w:rPr>
                <w:b/>
                <w:color w:val="FFFFFF"/>
              </w:rPr>
              <w:t>Stroke cases</w:t>
            </w:r>
          </w:p>
        </w:tc>
        <w:tc>
          <w:tcPr>
            <w:tcW w:type="dxa" w:w="2592"/>
            <w:vAlign w:val="center"/>
            <w:shd w:fill="1F4E79"/>
          </w:tcPr>
          <w:p>
            <w:r/>
            <w:r>
              <w:rPr>
                <w:b/>
                <w:color w:val="FFFFFF"/>
              </w:rPr>
              <w:t>Stroke rate (%)</w:t>
            </w:r>
          </w:p>
        </w:tc>
      </w:tr>
      <w:tr>
        <w:tc>
          <w:tcPr>
            <w:tcW w:type="dxa" w:w="2592"/>
            <w:vAlign w:val="center"/>
          </w:tcPr>
          <w:p>
            <w:r/>
            <w:r>
              <w:rPr>
                <w:b w:val="0"/>
              </w:rPr>
              <w:t>&lt;100</w:t>
            </w:r>
          </w:p>
        </w:tc>
        <w:tc>
          <w:tcPr>
            <w:tcW w:type="dxa" w:w="2592"/>
            <w:vAlign w:val="center"/>
          </w:tcPr>
          <w:p>
            <w:r/>
            <w:r>
              <w:rPr>
                <w:b w:val="0"/>
              </w:rPr>
              <w:t>3061</w:t>
            </w:r>
          </w:p>
        </w:tc>
        <w:tc>
          <w:tcPr>
            <w:tcW w:type="dxa" w:w="2592"/>
            <w:vAlign w:val="center"/>
          </w:tcPr>
          <w:p>
            <w:r/>
            <w:r>
              <w:rPr>
                <w:b w:val="0"/>
              </w:rPr>
              <w:t>112</w:t>
            </w:r>
          </w:p>
        </w:tc>
        <w:tc>
          <w:tcPr>
            <w:tcW w:type="dxa" w:w="2592"/>
            <w:vAlign w:val="center"/>
          </w:tcPr>
          <w:p>
            <w:r/>
            <w:r>
              <w:rPr>
                <w:b w:val="0"/>
              </w:rPr>
              <w:t>3.7%</w:t>
            </w:r>
          </w:p>
        </w:tc>
      </w:tr>
      <w:tr>
        <w:tc>
          <w:tcPr>
            <w:tcW w:type="dxa" w:w="2592"/>
            <w:vAlign w:val="center"/>
          </w:tcPr>
          <w:p>
            <w:r/>
            <w:r>
              <w:rPr>
                <w:b w:val="0"/>
              </w:rPr>
              <w:t>100-125</w:t>
            </w:r>
          </w:p>
        </w:tc>
        <w:tc>
          <w:tcPr>
            <w:tcW w:type="dxa" w:w="2592"/>
            <w:vAlign w:val="center"/>
          </w:tcPr>
          <w:p>
            <w:r/>
            <w:r>
              <w:rPr>
                <w:b w:val="0"/>
              </w:rPr>
              <w:t>973</w:t>
            </w:r>
          </w:p>
        </w:tc>
        <w:tc>
          <w:tcPr>
            <w:tcW w:type="dxa" w:w="2592"/>
            <w:vAlign w:val="center"/>
          </w:tcPr>
          <w:p>
            <w:r/>
            <w:r>
              <w:rPr>
                <w:b w:val="0"/>
              </w:rPr>
              <w:t>37</w:t>
            </w:r>
          </w:p>
        </w:tc>
        <w:tc>
          <w:tcPr>
            <w:tcW w:type="dxa" w:w="2592"/>
            <w:vAlign w:val="center"/>
          </w:tcPr>
          <w:p>
            <w:r/>
            <w:r>
              <w:rPr>
                <w:b w:val="0"/>
              </w:rPr>
              <w:t>3.8%</w:t>
            </w:r>
          </w:p>
        </w:tc>
      </w:tr>
      <w:tr>
        <w:tc>
          <w:tcPr>
            <w:tcW w:type="dxa" w:w="2592"/>
            <w:vAlign w:val="center"/>
          </w:tcPr>
          <w:p>
            <w:r/>
            <w:r>
              <w:rPr>
                <w:b w:val="0"/>
              </w:rPr>
              <w:t>126+</w:t>
            </w:r>
          </w:p>
        </w:tc>
        <w:tc>
          <w:tcPr>
            <w:tcW w:type="dxa" w:w="2592"/>
            <w:vAlign w:val="center"/>
          </w:tcPr>
          <w:p>
            <w:r/>
            <w:r>
              <w:rPr>
                <w:b w:val="0"/>
              </w:rPr>
              <w:t>947</w:t>
            </w:r>
          </w:p>
        </w:tc>
        <w:tc>
          <w:tcPr>
            <w:tcW w:type="dxa" w:w="2592"/>
            <w:vAlign w:val="center"/>
          </w:tcPr>
          <w:p>
            <w:r/>
            <w:r>
              <w:rPr>
                <w:b w:val="0"/>
              </w:rPr>
              <w:t>99</w:t>
            </w:r>
          </w:p>
        </w:tc>
        <w:tc>
          <w:tcPr>
            <w:tcW w:type="dxa" w:w="2592"/>
            <w:vAlign w:val="center"/>
          </w:tcPr>
          <w:p>
            <w:r/>
            <w:r>
              <w:rPr>
                <w:b w:val="0"/>
              </w:rPr>
              <w:t>10.5%</w:t>
            </w:r>
          </w:p>
        </w:tc>
      </w:tr>
    </w:tbl>
    <w:p>
      <w:pPr>
        <w:jc w:val="center"/>
      </w:pPr>
      <w:r>
        <w:drawing>
          <wp:inline xmlns:a="http://schemas.openxmlformats.org/drawingml/2006/main" xmlns:pic="http://schemas.openxmlformats.org/drawingml/2006/picture">
            <wp:extent cx="5669280" cy="4018211"/>
            <wp:docPr id="8" name="Picture 8"/>
            <wp:cNvGraphicFramePr>
              <a:graphicFrameLocks noChangeAspect="1"/>
            </wp:cNvGraphicFramePr>
            <a:graphic>
              <a:graphicData uri="http://schemas.openxmlformats.org/drawingml/2006/picture">
                <pic:pic>
                  <pic:nvPicPr>
                    <pic:cNvPr id="0" name="08_stroke_rate_by_glucose_category.png"/>
                    <pic:cNvPicPr/>
                  </pic:nvPicPr>
                  <pic:blipFill>
                    <a:blip r:embed="rId16"/>
                    <a:stretch>
                      <a:fillRect/>
                    </a:stretch>
                  </pic:blipFill>
                  <pic:spPr>
                    <a:xfrm>
                      <a:off x="0" y="0"/>
                      <a:ext cx="5669280" cy="4018211"/>
                    </a:xfrm>
                    <a:prstGeom prst="rect"/>
                  </pic:spPr>
                </pic:pic>
              </a:graphicData>
            </a:graphic>
          </wp:inline>
        </w:drawing>
      </w:r>
    </w:p>
    <w:p>
      <w:pPr>
        <w:pStyle w:val="Caption"/>
        <w:jc w:val="center"/>
      </w:pPr>
      <w:r>
        <w:t>Figure 8. Stroke rate by glucose category.</w:t>
      </w:r>
    </w:p>
    <w:p>
      <w:pPr>
        <w:pStyle w:val="Caption"/>
      </w:pPr>
      <w:r>
        <w:t>Table 9. Stroke rate by work type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
              <w:rPr>
                <w:b/>
                <w:color w:val="FFFFFF"/>
              </w:rPr>
              <w:t>Work type</w:t>
            </w:r>
          </w:p>
        </w:tc>
        <w:tc>
          <w:tcPr>
            <w:tcW w:type="dxa" w:w="2592"/>
            <w:vAlign w:val="center"/>
            <w:shd w:fill="1F4E79"/>
          </w:tcPr>
          <w:p>
            <w:r/>
            <w:r>
              <w:rPr>
                <w:b/>
                <w:color w:val="FFFFFF"/>
              </w:rPr>
              <w:t>Patients</w:t>
            </w:r>
          </w:p>
        </w:tc>
        <w:tc>
          <w:tcPr>
            <w:tcW w:type="dxa" w:w="2592"/>
            <w:vAlign w:val="center"/>
            <w:shd w:fill="1F4E79"/>
          </w:tcPr>
          <w:p>
            <w:r/>
            <w:r>
              <w:rPr>
                <w:b/>
                <w:color w:val="FFFFFF"/>
              </w:rPr>
              <w:t>Stroke cases</w:t>
            </w:r>
          </w:p>
        </w:tc>
        <w:tc>
          <w:tcPr>
            <w:tcW w:type="dxa" w:w="2592"/>
            <w:vAlign w:val="center"/>
            <w:shd w:fill="1F4E79"/>
          </w:tcPr>
          <w:p>
            <w:r/>
            <w:r>
              <w:rPr>
                <w:b/>
                <w:color w:val="FFFFFF"/>
              </w:rPr>
              <w:t>Stroke rate (%)</w:t>
            </w:r>
          </w:p>
        </w:tc>
      </w:tr>
      <w:tr>
        <w:tc>
          <w:tcPr>
            <w:tcW w:type="dxa" w:w="2592"/>
            <w:vAlign w:val="center"/>
          </w:tcPr>
          <w:p>
            <w:r/>
            <w:r>
              <w:rPr>
                <w:b w:val="0"/>
              </w:rPr>
              <w:t>Self-employed</w:t>
            </w:r>
          </w:p>
        </w:tc>
        <w:tc>
          <w:tcPr>
            <w:tcW w:type="dxa" w:w="2592"/>
            <w:vAlign w:val="center"/>
          </w:tcPr>
          <w:p>
            <w:r/>
            <w:r>
              <w:rPr>
                <w:b w:val="0"/>
              </w:rPr>
              <w:t>804</w:t>
            </w:r>
          </w:p>
        </w:tc>
        <w:tc>
          <w:tcPr>
            <w:tcW w:type="dxa" w:w="2592"/>
            <w:vAlign w:val="center"/>
          </w:tcPr>
          <w:p>
            <w:r/>
            <w:r>
              <w:rPr>
                <w:b w:val="0"/>
              </w:rPr>
              <w:t>65</w:t>
            </w:r>
          </w:p>
        </w:tc>
        <w:tc>
          <w:tcPr>
            <w:tcW w:type="dxa" w:w="2592"/>
            <w:vAlign w:val="center"/>
          </w:tcPr>
          <w:p>
            <w:r/>
            <w:r>
              <w:rPr>
                <w:b w:val="0"/>
              </w:rPr>
              <w:t>8.1%</w:t>
            </w:r>
          </w:p>
        </w:tc>
      </w:tr>
      <w:tr>
        <w:tc>
          <w:tcPr>
            <w:tcW w:type="dxa" w:w="2592"/>
            <w:vAlign w:val="center"/>
          </w:tcPr>
          <w:p>
            <w:r/>
            <w:r>
              <w:rPr>
                <w:b w:val="0"/>
              </w:rPr>
              <w:t>Private</w:t>
            </w:r>
          </w:p>
        </w:tc>
        <w:tc>
          <w:tcPr>
            <w:tcW w:type="dxa" w:w="2592"/>
            <w:vAlign w:val="center"/>
          </w:tcPr>
          <w:p>
            <w:r/>
            <w:r>
              <w:rPr>
                <w:b w:val="0"/>
              </w:rPr>
              <w:t>2860</w:t>
            </w:r>
          </w:p>
        </w:tc>
        <w:tc>
          <w:tcPr>
            <w:tcW w:type="dxa" w:w="2592"/>
            <w:vAlign w:val="center"/>
          </w:tcPr>
          <w:p>
            <w:r/>
            <w:r>
              <w:rPr>
                <w:b w:val="0"/>
              </w:rPr>
              <w:t>148</w:t>
            </w:r>
          </w:p>
        </w:tc>
        <w:tc>
          <w:tcPr>
            <w:tcW w:type="dxa" w:w="2592"/>
            <w:vAlign w:val="center"/>
          </w:tcPr>
          <w:p>
            <w:r/>
            <w:r>
              <w:rPr>
                <w:b w:val="0"/>
              </w:rPr>
              <w:t>5.2%</w:t>
            </w:r>
          </w:p>
        </w:tc>
      </w:tr>
      <w:tr>
        <w:tc>
          <w:tcPr>
            <w:tcW w:type="dxa" w:w="2592"/>
            <w:vAlign w:val="center"/>
          </w:tcPr>
          <w:p>
            <w:r/>
            <w:r>
              <w:rPr>
                <w:b w:val="0"/>
              </w:rPr>
              <w:t>Govt_job</w:t>
            </w:r>
          </w:p>
        </w:tc>
        <w:tc>
          <w:tcPr>
            <w:tcW w:type="dxa" w:w="2592"/>
            <w:vAlign w:val="center"/>
          </w:tcPr>
          <w:p>
            <w:r/>
            <w:r>
              <w:rPr>
                <w:b w:val="0"/>
              </w:rPr>
              <w:t>644</w:t>
            </w:r>
          </w:p>
        </w:tc>
        <w:tc>
          <w:tcPr>
            <w:tcW w:type="dxa" w:w="2592"/>
            <w:vAlign w:val="center"/>
          </w:tcPr>
          <w:p>
            <w:r/>
            <w:r>
              <w:rPr>
                <w:b w:val="0"/>
              </w:rPr>
              <w:t>33</w:t>
            </w:r>
          </w:p>
        </w:tc>
        <w:tc>
          <w:tcPr>
            <w:tcW w:type="dxa" w:w="2592"/>
            <w:vAlign w:val="center"/>
          </w:tcPr>
          <w:p>
            <w:r/>
            <w:r>
              <w:rPr>
                <w:b w:val="0"/>
              </w:rPr>
              <w:t>5.1%</w:t>
            </w:r>
          </w:p>
        </w:tc>
      </w:tr>
      <w:tr>
        <w:tc>
          <w:tcPr>
            <w:tcW w:type="dxa" w:w="2592"/>
            <w:vAlign w:val="center"/>
          </w:tcPr>
          <w:p>
            <w:r/>
            <w:r>
              <w:rPr>
                <w:b w:val="0"/>
              </w:rPr>
              <w:t>children</w:t>
            </w:r>
          </w:p>
        </w:tc>
        <w:tc>
          <w:tcPr>
            <w:tcW w:type="dxa" w:w="2592"/>
            <w:vAlign w:val="center"/>
          </w:tcPr>
          <w:p>
            <w:r/>
            <w:r>
              <w:rPr>
                <w:b w:val="0"/>
              </w:rPr>
              <w:t>673</w:t>
            </w:r>
          </w:p>
        </w:tc>
        <w:tc>
          <w:tcPr>
            <w:tcW w:type="dxa" w:w="2592"/>
            <w:vAlign w:val="center"/>
          </w:tcPr>
          <w:p>
            <w:r/>
            <w:r>
              <w:rPr>
                <w:b w:val="0"/>
              </w:rPr>
              <w:t>2</w:t>
            </w:r>
          </w:p>
        </w:tc>
        <w:tc>
          <w:tcPr>
            <w:tcW w:type="dxa" w:w="2592"/>
            <w:vAlign w:val="center"/>
          </w:tcPr>
          <w:p>
            <w:r/>
            <w:r>
              <w:rPr>
                <w:b w:val="0"/>
              </w:rPr>
              <w:t>0.3%</w:t>
            </w:r>
          </w:p>
        </w:tc>
      </w:tr>
    </w:tbl>
    <w:p>
      <w:pPr>
        <w:jc w:val="center"/>
      </w:pPr>
      <w:r>
        <w:drawing>
          <wp:inline xmlns:a="http://schemas.openxmlformats.org/drawingml/2006/main" xmlns:pic="http://schemas.openxmlformats.org/drawingml/2006/picture">
            <wp:extent cx="5669280" cy="3509934"/>
            <wp:docPr id="9" name="Picture 9"/>
            <wp:cNvGraphicFramePr>
              <a:graphicFrameLocks noChangeAspect="1"/>
            </wp:cNvGraphicFramePr>
            <a:graphic>
              <a:graphicData uri="http://schemas.openxmlformats.org/drawingml/2006/picture">
                <pic:pic>
                  <pic:nvPicPr>
                    <pic:cNvPr id="0" name="09_stroke_rate_by_work_type.png"/>
                    <pic:cNvPicPr/>
                  </pic:nvPicPr>
                  <pic:blipFill>
                    <a:blip r:embed="rId17"/>
                    <a:stretch>
                      <a:fillRect/>
                    </a:stretch>
                  </pic:blipFill>
                  <pic:spPr>
                    <a:xfrm>
                      <a:off x="0" y="0"/>
                      <a:ext cx="5669280" cy="3509934"/>
                    </a:xfrm>
                    <a:prstGeom prst="rect"/>
                  </pic:spPr>
                </pic:pic>
              </a:graphicData>
            </a:graphic>
          </wp:inline>
        </w:drawing>
      </w:r>
    </w:p>
    <w:p>
      <w:pPr>
        <w:pStyle w:val="Caption"/>
        <w:jc w:val="center"/>
      </w:pPr>
      <w:r>
        <w:t>Figure 9. Stroke rate by work type.</w:t>
      </w:r>
    </w:p>
    <w:p>
      <w:pPr>
        <w:pStyle w:val="Heading1"/>
      </w:pPr>
      <w:r>
        <w:t>6. Correlation Review</w:t>
      </w:r>
    </w:p>
    <w:p>
      <w:r>
        <w:t>A correlation heatmap was produced for numerical and binary variables. Correlation is descriptive and does not establish causation. The strongest positive correlation with stroke among these fields was age, followed by weaker positive relationships with hypertension, heart disease, glucose, and BMI.</w:t>
      </w:r>
    </w:p>
    <w:p>
      <w:pPr>
        <w:jc w:val="center"/>
      </w:pPr>
      <w:r>
        <w:drawing>
          <wp:inline xmlns:a="http://schemas.openxmlformats.org/drawingml/2006/main" xmlns:pic="http://schemas.openxmlformats.org/drawingml/2006/picture">
            <wp:extent cx="5669280" cy="4855464"/>
            <wp:docPr id="10" name="Picture 10"/>
            <wp:cNvGraphicFramePr>
              <a:graphicFrameLocks noChangeAspect="1"/>
            </wp:cNvGraphicFramePr>
            <a:graphic>
              <a:graphicData uri="http://schemas.openxmlformats.org/drawingml/2006/picture">
                <pic:pic>
                  <pic:nvPicPr>
                    <pic:cNvPr id="0" name="10_correlation_heatmap.png"/>
                    <pic:cNvPicPr/>
                  </pic:nvPicPr>
                  <pic:blipFill>
                    <a:blip r:embed="rId18"/>
                    <a:stretch>
                      <a:fillRect/>
                    </a:stretch>
                  </pic:blipFill>
                  <pic:spPr>
                    <a:xfrm>
                      <a:off x="0" y="0"/>
                      <a:ext cx="5669280" cy="4855464"/>
                    </a:xfrm>
                    <a:prstGeom prst="rect"/>
                  </pic:spPr>
                </pic:pic>
              </a:graphicData>
            </a:graphic>
          </wp:inline>
        </w:drawing>
      </w:r>
    </w:p>
    <w:p>
      <w:pPr>
        <w:pStyle w:val="Caption"/>
        <w:jc w:val="center"/>
      </w:pPr>
      <w:r>
        <w:t>Figure 10. Correlation heatmap for numerical/binary fields.</w:t>
      </w:r>
    </w:p>
    <w:p>
      <w:pPr>
        <w:pStyle w:val="Heading1"/>
      </w:pPr>
      <w:r>
        <w:t>7. Key Exploratory Findings</w:t>
      </w:r>
    </w:p>
    <w:p>
      <w:pPr>
        <w:pStyle w:val="ListBullet"/>
      </w:pPr>
      <w:r>
        <w:t>Stroke prevalence was low at 4.98%, confirming that class imbalance is a central issue for later modeling.</w:t>
      </w:r>
    </w:p>
    <w:p>
      <w:pPr>
        <w:pStyle w:val="ListBullet"/>
      </w:pPr>
      <w:r>
        <w:t>Stroke patients were much older on average (67.8) than non-stroke patients (42.1).</w:t>
      </w:r>
    </w:p>
    <w:p>
      <w:pPr>
        <w:pStyle w:val="ListBullet"/>
      </w:pPr>
      <w:r>
        <w:t>Patients aged 66+ had the highest observed stroke rate: 16.3%.</w:t>
      </w:r>
    </w:p>
    <w:p>
      <w:pPr>
        <w:pStyle w:val="ListBullet"/>
      </w:pPr>
      <w:r>
        <w:t>Stroke patients had higher average glucose (132.2) than non-stroke patients (104.6).</w:t>
      </w:r>
    </w:p>
    <w:p>
      <w:pPr>
        <w:pStyle w:val="ListBullet"/>
      </w:pPr>
      <w:r>
        <w:t>Patients in the 126+ glucose category had a higher observed stroke rate than lower glucose groups.</w:t>
      </w:r>
    </w:p>
    <w:p>
      <w:pPr>
        <w:pStyle w:val="ListBullet"/>
      </w:pPr>
      <w:r>
        <w:t>Hypertension and heart disease groups showed higher observed stroke rates than their corresponding non-condition groups.</w:t>
      </w:r>
    </w:p>
    <w:p>
      <w:pPr>
        <w:pStyle w:val="ListBullet"/>
      </w:pPr>
      <w:r>
        <w:t>Smoking-status differences were visible, but interpretation should consider age distribution and possible confounding.</w:t>
      </w:r>
    </w:p>
    <w:p>
      <w:pPr>
        <w:pStyle w:val="Heading1"/>
      </w:pPr>
      <w:r>
        <w:t>8. Interactive Dashboard</w:t>
      </w:r>
    </w:p>
    <w:p>
      <w:r>
        <w:t>A standalone interactive HTML dashboard was created from the same visualizations. The dashboard supports hover, zoom, pan, and interactive chart review in a browser.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
              <w:rPr>
                <w:b/>
                <w:color w:val="FFFFFF"/>
              </w:rPr>
              <w:t>Item</w:t>
            </w:r>
          </w:p>
        </w:tc>
        <w:tc>
          <w:tcPr>
            <w:tcW w:type="dxa" w:w="5184"/>
            <w:vAlign w:val="center"/>
            <w:shd w:fill="1F4E79"/>
          </w:tcPr>
          <w:p>
            <w:r/>
            <w:r>
              <w:rPr>
                <w:b/>
                <w:color w:val="FFFFFF"/>
              </w:rPr>
              <w:t>Result</w:t>
            </w:r>
          </w:p>
        </w:tc>
      </w:tr>
      <w:tr>
        <w:tc>
          <w:tcPr>
            <w:tcW w:type="dxa" w:w="5184"/>
            <w:vAlign w:val="center"/>
          </w:tcPr>
          <w:p>
            <w:r/>
            <w:r>
              <w:rPr>
                <w:b w:val="0"/>
              </w:rPr>
              <w:t>Dashboard artifact</w:t>
            </w:r>
          </w:p>
        </w:tc>
        <w:tc>
          <w:tcPr>
            <w:tcW w:type="dxa" w:w="5184"/>
            <w:vAlign w:val="center"/>
          </w:tcPr>
          <w:p>
            <w:r/>
            <w:r>
              <w:rPr>
                <w:b w:val="0"/>
              </w:rPr>
              <w:t>brain_stroke_original_data_interactive_dashboard.html</w:t>
            </w:r>
          </w:p>
        </w:tc>
      </w:tr>
      <w:tr>
        <w:tc>
          <w:tcPr>
            <w:tcW w:type="dxa" w:w="5184"/>
            <w:vAlign w:val="center"/>
          </w:tcPr>
          <w:p>
            <w:r/>
            <w:r>
              <w:rPr>
                <w:b w:val="0"/>
              </w:rPr>
              <w:t>Dashboard type</w:t>
            </w:r>
          </w:p>
        </w:tc>
        <w:tc>
          <w:tcPr>
            <w:tcW w:type="dxa" w:w="5184"/>
            <w:vAlign w:val="center"/>
          </w:tcPr>
          <w:p>
            <w:r/>
            <w:r>
              <w:rPr>
                <w:b w:val="0"/>
              </w:rPr>
              <w:t>Standalone HTML, Plotly-based</w:t>
            </w:r>
          </w:p>
        </w:tc>
      </w:tr>
      <w:tr>
        <w:tc>
          <w:tcPr>
            <w:tcW w:type="dxa" w:w="5184"/>
            <w:vAlign w:val="center"/>
          </w:tcPr>
          <w:p>
            <w:r/>
            <w:r>
              <w:rPr>
                <w:b w:val="0"/>
              </w:rPr>
              <w:t>Included views</w:t>
            </w:r>
          </w:p>
        </w:tc>
        <w:tc>
          <w:tcPr>
            <w:tcW w:type="dxa" w:w="5184"/>
            <w:vAlign w:val="center"/>
          </w:tcPr>
          <w:p>
            <w:r/>
            <w:r>
              <w:rPr>
                <w:b w:val="0"/>
              </w:rPr>
              <w:t>KPI cards, stroke distribution, age/glucose/BMI boxplots, grouped stroke-rate charts, and correlation heatmap</w:t>
            </w:r>
          </w:p>
        </w:tc>
      </w:tr>
      <w:tr>
        <w:tc>
          <w:tcPr>
            <w:tcW w:type="dxa" w:w="5184"/>
            <w:vAlign w:val="center"/>
          </w:tcPr>
          <w:p>
            <w:r/>
            <w:r>
              <w:rPr>
                <w:b w:val="0"/>
              </w:rPr>
              <w:t>Purpose</w:t>
            </w:r>
          </w:p>
        </w:tc>
        <w:tc>
          <w:tcPr>
            <w:tcW w:type="dxa" w:w="5184"/>
            <w:vAlign w:val="center"/>
          </w:tcPr>
          <w:p>
            <w:r/>
            <w:r>
              <w:rPr>
                <w:b w:val="0"/>
              </w:rPr>
              <w:t>Stakeholder-friendly exploratory review of the original dataset</w:t>
            </w:r>
          </w:p>
        </w:tc>
      </w:tr>
    </w:tbl>
    <w:p>
      <w:pPr>
        <w:pStyle w:val="Heading1"/>
      </w:pPr>
      <w:r>
        <w:t>9. Interpretation Notes and Limitations</w:t>
      </w:r>
    </w:p>
    <w:p>
      <w:pPr>
        <w:pStyle w:val="ListBullet"/>
      </w:pPr>
      <w:r>
        <w:t>This is exploratory analysis of observational data; it does not establish causation.</w:t>
      </w:r>
    </w:p>
    <w:p>
      <w:pPr>
        <w:pStyle w:val="ListBullet"/>
      </w:pPr>
      <w:r>
        <w:t>No statistical significance testing is claimed in this EDA section.</w:t>
      </w:r>
    </w:p>
    <w:p>
      <w:pPr>
        <w:pStyle w:val="ListBullet"/>
      </w:pPr>
      <w:r>
        <w:t>Stroke cases represent only about 5% of the dataset, so class imbalance must be addressed in predictive modeling.</w:t>
      </w:r>
    </w:p>
    <w:p>
      <w:pPr>
        <w:pStyle w:val="ListBullet"/>
      </w:pPr>
      <w:r>
        <w:t>Some subgroup rates may be unstable where subgroup sizes or stroke-case counts are small.</w:t>
      </w:r>
    </w:p>
    <w:p>
      <w:pPr>
        <w:pStyle w:val="ListBullet"/>
      </w:pPr>
      <w:r>
        <w:t>Observed differences may be confounded by age, comorbidities, and unmeasured clinical variables.</w:t>
      </w:r>
    </w:p>
    <w:p>
      <w:pPr>
        <w:pStyle w:val="Heading1"/>
      </w:pPr>
      <w:r>
        <w:t>10. Files Produced</w:t>
      </w:r>
    </w:p>
    <w:p>
      <w:pPr>
        <w:pStyle w:val="Caption"/>
      </w:pPr>
      <w:r>
        <w:t>Table 10. Output files produced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
              <w:rPr>
                <w:b/>
                <w:color w:val="FFFFFF"/>
              </w:rPr>
              <w:t>File</w:t>
            </w:r>
          </w:p>
        </w:tc>
        <w:tc>
          <w:tcPr>
            <w:tcW w:type="dxa" w:w="5184"/>
            <w:vAlign w:val="center"/>
            <w:shd w:fill="1F4E79"/>
          </w:tcPr>
          <w:p>
            <w:r/>
            <w:r>
              <w:rPr>
                <w:b/>
                <w:color w:val="FFFFFF"/>
              </w:rPr>
              <w:t>Description</w:t>
            </w:r>
          </w:p>
        </w:tc>
      </w:tr>
      <w:tr>
        <w:tc>
          <w:tcPr>
            <w:tcW w:type="dxa" w:w="5184"/>
            <w:vAlign w:val="center"/>
          </w:tcPr>
          <w:p>
            <w:r/>
            <w:r>
              <w:rPr>
                <w:b w:val="0"/>
              </w:rPr>
              <w:t>original_data_exploratory_analysis_report.docx</w:t>
            </w:r>
          </w:p>
        </w:tc>
        <w:tc>
          <w:tcPr>
            <w:tcW w:type="dxa" w:w="5184"/>
            <w:vAlign w:val="center"/>
          </w:tcPr>
          <w:p>
            <w:r/>
            <w:r>
              <w:rPr>
                <w:b w:val="0"/>
              </w:rPr>
              <w:t>EDA report with embedded tables and plots</w:t>
            </w:r>
          </w:p>
        </w:tc>
      </w:tr>
      <w:tr>
        <w:tc>
          <w:tcPr>
            <w:tcW w:type="dxa" w:w="5184"/>
            <w:vAlign w:val="center"/>
          </w:tcPr>
          <w:p>
            <w:r/>
            <w:r>
              <w:rPr>
                <w:b w:val="0"/>
              </w:rPr>
              <w:t>brain_stroke_original_data_interactive_dashboard.html</w:t>
            </w:r>
          </w:p>
        </w:tc>
        <w:tc>
          <w:tcPr>
            <w:tcW w:type="dxa" w:w="5184"/>
            <w:vAlign w:val="center"/>
          </w:tcPr>
          <w:p>
            <w:r/>
            <w:r>
              <w:rPr>
                <w:b w:val="0"/>
              </w:rPr>
              <w:t>Standalone interactive dashboard</w:t>
            </w:r>
          </w:p>
        </w:tc>
      </w:tr>
      <w:tr>
        <w:tc>
          <w:tcPr>
            <w:tcW w:type="dxa" w:w="5184"/>
            <w:vAlign w:val="center"/>
          </w:tcPr>
          <w:p>
            <w:r/>
            <w:r>
              <w:rPr>
                <w:b w:val="0"/>
              </w:rPr>
              <w:t>original_data_eda_charts.zip</w:t>
            </w:r>
          </w:p>
        </w:tc>
        <w:tc>
          <w:tcPr>
            <w:tcW w:type="dxa" w:w="5184"/>
            <w:vAlign w:val="center"/>
          </w:tcPr>
          <w:p>
            <w:r/>
            <w:r>
              <w:rPr>
                <w:b w:val="0"/>
              </w:rPr>
              <w:t>ZIP file containing all PNG visualizations</w:t>
            </w:r>
          </w:p>
        </w:tc>
      </w:tr>
      <w:tr>
        <w:tc>
          <w:tcPr>
            <w:tcW w:type="dxa" w:w="5184"/>
            <w:vAlign w:val="center"/>
          </w:tcPr>
          <w:p>
            <w:r/>
            <w:r>
              <w:rPr>
                <w:b w:val="0"/>
              </w:rPr>
              <w:t>numeric_summary_overall.csv</w:t>
            </w:r>
          </w:p>
        </w:tc>
        <w:tc>
          <w:tcPr>
            <w:tcW w:type="dxa" w:w="5184"/>
            <w:vAlign w:val="center"/>
          </w:tcPr>
          <w:p>
            <w:r/>
            <w:r>
              <w:rPr>
                <w:b w:val="0"/>
              </w:rPr>
              <w:t>Overall numeric descriptive statistics</w:t>
            </w:r>
          </w:p>
        </w:tc>
      </w:tr>
      <w:tr>
        <w:tc>
          <w:tcPr>
            <w:tcW w:type="dxa" w:w="5184"/>
            <w:vAlign w:val="center"/>
          </w:tcPr>
          <w:p>
            <w:r/>
            <w:r>
              <w:rPr>
                <w:b w:val="0"/>
              </w:rPr>
              <w:t>numeric_summary_by_stroke.csv</w:t>
            </w:r>
          </w:p>
        </w:tc>
        <w:tc>
          <w:tcPr>
            <w:tcW w:type="dxa" w:w="5184"/>
            <w:vAlign w:val="center"/>
          </w:tcPr>
          <w:p>
            <w:r/>
            <w:r>
              <w:rPr>
                <w:b w:val="0"/>
              </w:rPr>
              <w:t>Numeric descriptive statistics by stroke status</w:t>
            </w:r>
          </w:p>
        </w:tc>
      </w:tr>
      <w:tr>
        <w:tc>
          <w:tcPr>
            <w:tcW w:type="dxa" w:w="5184"/>
            <w:vAlign w:val="center"/>
          </w:tcPr>
          <w:p>
            <w:r/>
            <w:r>
              <w:rPr>
                <w:b w:val="0"/>
              </w:rPr>
              <w:t>*_rates.csv</w:t>
            </w:r>
          </w:p>
        </w:tc>
        <w:tc>
          <w:tcPr>
            <w:tcW w:type="dxa" w:w="5184"/>
            <w:vAlign w:val="center"/>
          </w:tcPr>
          <w:p>
            <w:r/>
            <w:r>
              <w:rPr>
                <w:b w:val="0"/>
              </w:rPr>
              <w:t>Grouped stroke-rate tables</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