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B8860B"/>
          <w:spacing w:val="60"/>
          <w:sz w:val="22"/>
          <w:szCs w:val="22"/>
        </w:rPr>
        <w:t xml:space="preserve">PROJECT GUIDELINE</w:t>
      </w:r>
    </w:p>
    <w:p>
      <w:pPr>
        <w:pStyle w:val="Title"/>
        <w:spacing w:after="60" w:before="80"/>
      </w:pPr>
      <w:r>
        <w:t xml:space="preserve">Gold Price Prediction</w:t>
      </w:r>
    </w:p>
    <w:p>
      <w:pPr>
        <w:spacing w:after="200"/>
      </w:pPr>
      <w:r>
        <w:rPr>
          <w:i/>
          <w:iCs/>
          <w:color w:val="555555"/>
          <w:sz w:val="24"/>
          <w:szCs w:val="24"/>
        </w:rPr>
        <w:t xml:space="preserve">A phase-by-phase nowcasting workflow for a cross-asset regression project — from problem framing through EDA, feature engineering, validation, modeling, and communication.</w:t>
      </w:r>
    </w:p>
    <w:p>
      <w:pPr>
        <w:spacing w:after="200"/>
      </w:pPr>
      <w:r>
        <w:rPr>
          <w:color w:val="1A1A1A"/>
          <w:sz w:val="20"/>
          <w:szCs w:val="20"/>
        </w:rPr>
        <w:t xml:space="preserve">Target: SPDR Gold ETF (GLD) daily price    |    Features: SPX, USO, SLV, EUR/USD    |    ~2,290 trading days (2008–2018)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8860B" w:sz="24"/>
              <w:bottom w:val="none"/>
              <w:right w:val="none"/>
            </w:tcBorders>
            <w:shd w:fill="F5F1E6" w:val="clear"/>
            <w:tcMar>
              <w:top w:type="dxa" w:w="120"/>
              <w:left w:type="dxa" w:w="200"/>
              <w:bottom w:type="dxa" w:w="120"/>
              <w:right w:type="dxa" w:w="160"/>
            </w:tcMar>
          </w:tcPr>
          <w:p>
            <w:pPr>
              <w:spacing w:after="60"/>
            </w:pPr>
            <w:r>
              <w:rPr>
                <w:b/>
                <w:bCs/>
                <w:color w:val="B8860B"/>
                <w:sz w:val="22"/>
                <w:szCs w:val="22"/>
              </w:rPr>
              <w:t xml:space="preserve">Project framing: this is a nowcast</w:t>
            </w:r>
          </w:p>
          <w:p>
            <w:r>
              <w:rPr>
                <w:color w:val="1A1A1A"/>
                <w:sz w:val="22"/>
                <w:szCs w:val="22"/>
              </w:rPr>
              <w:t xml:space="preserve">GLD on day t is predicted from the other assets on the same day t. You are estimating a contemporaneous cross-asset relationship — “given where the other assets sit today, where does gold sit today” — not forecasting tomorrow from today. This decision shapes the baseline, the features, and how you interpret your results.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8860B" w:sz="24"/>
              <w:bottom w:val="none"/>
              <w:right w:val="none"/>
            </w:tcBorders>
            <w:shd w:fill="F5F1E6" w:val="clear"/>
            <w:tcMar>
              <w:top w:type="dxa" w:w="120"/>
              <w:left w:type="dxa" w:w="200"/>
              <w:bottom w:type="dxa" w:w="120"/>
              <w:right w:type="dxa" w:w="160"/>
            </w:tcMar>
          </w:tcPr>
          <w:p>
            <w:pPr>
              <w:spacing w:after="60"/>
            </w:pPr>
            <w:r>
              <w:rPr>
                <w:b/>
                <w:bCs/>
                <w:color w:val="B8860B"/>
                <w:sz w:val="22"/>
                <w:szCs w:val="22"/>
              </w:rPr>
              <w:t xml:space="preserve">How to use this document</w:t>
            </w:r>
          </w:p>
          <w:p>
            <w:r>
              <w:rPr>
                <w:color w:val="1A1A1A"/>
                <w:sz w:val="22"/>
                <w:szCs w:val="22"/>
              </w:rPr>
              <w:t xml:space="preserve">Each phase lists what to do and — more importantly — the decisions and traps specific to financial time-series. Work through them in order. The two phases that most separate strong work from junior work are Phase 4 (validation) and the SLV/GLD honesty thread running through Phases 2 and 7.</w:t>
            </w:r>
          </w:p>
        </w:tc>
      </w:tr>
    </w:tbl>
    <w:p>
      <w:r>
        <w:br w:type="page"/>
      </w:r>
    </w:p>
    <w:p>
      <w:pPr>
        <w:pStyle w:val="Heading1"/>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Phase 0 — Frame the Problem</w:t>
      </w:r>
    </w:p>
    <w:p>
      <w:pPr>
        <w:spacing w:after="160" w:line="276"/>
      </w:pPr>
      <w:r>
        <w:rPr>
          <w:i/>
          <w:iCs/>
          <w:color w:val="555555"/>
        </w:rPr>
        <w:t xml:space="preserve">This is the phase most people skip, and it determines whether the whole project is meaningful. Settle these before touching data.</w:t>
      </w:r>
    </w:p>
    <w:p>
      <w:pPr>
        <w:pStyle w:val="Heading2"/>
      </w:pPr>
      <w:r>
        <w:t xml:space="preserve">What you are predicting: a nowcast</w:t>
      </w:r>
    </w:p>
    <w:p>
      <w:pPr>
        <w:spacing w:after="160" w:line="276"/>
      </w:pPr>
      <w:r>
        <w:t xml:space="preserve">This project is a nowcast. You predict GLD on day t from SPX, USO, SLV, and EUR/USD on the same day t. Features and target stay on the same row — there is no target shifting. You are explaining the contemporaneous co-movement of gold with the other assets, not forecasting a future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8860B" w:sz="24"/>
              <w:bottom w:val="none"/>
              <w:right w:val="none"/>
            </w:tcBorders>
            <w:shd w:fill="F5F1E6" w:val="clear"/>
            <w:tcMar>
              <w:top w:type="dxa" w:w="120"/>
              <w:left w:type="dxa" w:w="200"/>
              <w:bottom w:type="dxa" w:w="120"/>
              <w:right w:type="dxa" w:w="160"/>
            </w:tcMar>
          </w:tcPr>
          <w:p>
            <w:pPr>
              <w:spacing w:after="60"/>
            </w:pPr>
            <w:r>
              <w:rPr>
                <w:b/>
                <w:bCs/>
                <w:color w:val="B8860B"/>
                <w:sz w:val="22"/>
                <w:szCs w:val="22"/>
              </w:rPr>
              <w:t xml:space="preserve">Say this plainly in your writeup</w:t>
            </w:r>
          </w:p>
          <w:p>
            <w:r>
              <w:rPr>
                <w:color w:val="1A1A1A"/>
                <w:sz w:val="22"/>
                <w:szCs w:val="22"/>
              </w:rPr>
              <w:t xml:space="preserve">A contemporaneous fit on co-moving assets will likely produce a very high R² — possibly 0.95 or above. That number is real but easy to oversell. It reflects that gold and silver move together, not that you can predict gold or trade on it. Frame the result as explanatory, never as a forecast.</w:t>
            </w:r>
          </w:p>
        </w:tc>
      </w:tr>
    </w:tbl>
    <w:p>
      <w:pPr>
        <w:pStyle w:val="Heading2"/>
      </w:pPr>
      <w:r>
        <w:t xml:space="preserve">Pick your baseline now</w:t>
      </w:r>
    </w:p>
    <w:p>
      <w:pPr>
        <w:spacing w:after="160" w:line="276"/>
      </w:pPr>
      <w:r>
        <w:t xml:space="preserve">Because this is a nowcast, the random-walk / persistence baseline used in forecasting does not apply — you are not predicting a future value. Use a within-day baseline instead:</w:t>
      </w:r>
    </w:p>
    <w:p>
      <w:pPr>
        <w:pStyle w:val="ListParagraph"/>
        <w:numPr>
          <w:ilvl w:val="0"/>
          <w:numId w:val="2"/>
        </w:numPr>
        <w:spacing w:after="100" w:line="270"/>
      </w:pPr>
      <w:r>
        <w:rPr>
          <w:b/>
          <w:bCs/>
        </w:rPr>
        <w:t xml:space="preserve">Mean predictor</w:t>
      </w:r>
      <w:r>
        <w:t xml:space="preserve"> — always predict the training-set mean of GLD. The floor any real model must clear.</w:t>
      </w:r>
    </w:p>
    <w:p>
      <w:pPr>
        <w:pStyle w:val="ListParagraph"/>
        <w:numPr>
          <w:ilvl w:val="0"/>
          <w:numId w:val="2"/>
        </w:numPr>
        <w:spacing w:after="100" w:line="270"/>
      </w:pPr>
      <w:r>
        <w:rPr>
          <w:b/>
          <w:bCs/>
        </w:rPr>
        <w:t xml:space="preserve">Single-feature regression</w:t>
      </w:r>
      <w:r>
        <w:t xml:space="preserve"> — predict GLD from SLV alone, the strongest co-mover. Your full multi-feature model must beat “silver alone explains gold,” or that is the finding.</w:t>
      </w:r>
    </w:p>
    <w:p>
      <w:pPr>
        <w:pStyle w:val="Heading2"/>
      </w:pPr>
      <w:r>
        <w:t xml:space="preserve">Choose level vs. returns</w:t>
      </w:r>
    </w:p>
    <w:p>
      <w:pPr>
        <w:spacing w:after="160" w:line="276"/>
      </w:pPr>
      <w:r>
        <w:t xml:space="preserve">You can model the price level (GLD in dollars) or the daily return / log-return. Levels are non-stationary and prone to spurious correlation; returns are closer to stationary but harder to fit. For a beginner project, levels are acceptable — but know you made that choice and why.</w:t>
      </w:r>
    </w:p>
    <w:p>
      <w:pPr>
        <w:pStyle w:val="Heading2"/>
      </w:pPr>
      <w:r>
        <w:t xml:space="preserve">Define success metrics up front</w:t>
      </w:r>
    </w:p>
    <w:p>
      <w:pPr>
        <w:spacing w:after="160" w:line="276"/>
      </w:pPr>
      <w:r>
        <w:t xml:space="preserve">Choose before modeling so you don't cherry-pick the metric that flatters you:</w:t>
      </w:r>
    </w:p>
    <w:p>
      <w:pPr>
        <w:pStyle w:val="ListParagraph"/>
        <w:numPr>
          <w:ilvl w:val="0"/>
          <w:numId w:val="2"/>
        </w:numPr>
        <w:spacing w:after="100" w:line="270"/>
      </w:pPr>
      <w:r>
        <w:rPr>
          <w:b/>
          <w:bCs/>
        </w:rPr>
        <w:t xml:space="preserve">RMSE / MAE</w:t>
      </w:r>
      <w:r>
        <w:t xml:space="preserve"> — magnitude of error.</w:t>
      </w:r>
    </w:p>
    <w:p>
      <w:pPr>
        <w:pStyle w:val="ListParagraph"/>
        <w:numPr>
          <w:ilvl w:val="0"/>
          <w:numId w:val="2"/>
        </w:numPr>
        <w:spacing w:after="100" w:line="270"/>
      </w:pPr>
      <w:r>
        <w:rPr>
          <w:b/>
          <w:bCs/>
        </w:rPr>
        <w:t xml:space="preserve">MAPE</w:t>
      </w:r>
      <w:r>
        <w:t xml:space="preserve"> — scale-free comparison.</w:t>
      </w:r>
    </w:p>
    <w:p>
      <w:pPr>
        <w:pStyle w:val="ListParagraph"/>
        <w:numPr>
          <w:ilvl w:val="0"/>
          <w:numId w:val="2"/>
        </w:numPr>
        <w:spacing w:after="100" w:line="270"/>
      </w:pPr>
      <w:r>
        <w:rPr>
          <w:b/>
          <w:bCs/>
        </w:rPr>
        <w:t xml:space="preserve">R²</w:t>
      </w:r>
      <w:r>
        <w:t xml:space="preserve"> — share of variance explained (expect it to be high here; interpret with the caveat above).</w:t>
      </w:r>
    </w:p>
    <w:p>
      <w:pPr>
        <w:pStyle w:val="Heading1"/>
      </w:pPr>
      <w:r>
        <w:t xml:space="preserve">Phase 1 — Load and Sanity-Check</w:t>
      </w:r>
    </w:p>
    <w:p>
      <w:pPr>
        <w:pStyle w:val="ListParagraph"/>
        <w:numPr>
          <w:ilvl w:val="0"/>
          <w:numId w:val="2"/>
        </w:numPr>
        <w:spacing w:after="100" w:line="270"/>
      </w:pPr>
      <w:r>
        <w:t xml:space="preserve">Confirm row count matches the ~2,290 stated.</w:t>
      </w:r>
    </w:p>
    <w:p>
      <w:pPr>
        <w:pStyle w:val="ListParagraph"/>
        <w:numPr>
          <w:ilvl w:val="0"/>
          <w:numId w:val="2"/>
        </w:numPr>
        <w:spacing w:after="100" w:line="270"/>
      </w:pPr>
      <w:r>
        <w:t xml:space="preserve">Check the date column parses correctly, is sorted, and has no duplicate dates.</w:t>
      </w:r>
    </w:p>
    <w:p>
      <w:pPr>
        <w:pStyle w:val="ListParagraph"/>
        <w:numPr>
          <w:ilvl w:val="0"/>
          <w:numId w:val="2"/>
        </w:numPr>
        <w:spacing w:after="100" w:line="270"/>
      </w:pPr>
      <w:r>
        <w:t xml:space="preserve">Check for missing values and calendar gaps. Markets close on weekends/holidays, so irregular spacing is normal — decide whether to reindex to business days or leave as-is.</w:t>
      </w:r>
    </w:p>
    <w:p>
      <w:pPr>
        <w:pStyle w:val="ListParagraph"/>
        <w:numPr>
          <w:ilvl w:val="0"/>
          <w:numId w:val="2"/>
        </w:numPr>
        <w:spacing w:after="100" w:line="270"/>
      </w:pPr>
      <w:r>
        <w:t xml:space="preserve">Inspect dtypes and run describe() / min-max on each series to catch data errors: negative prices, zeros, impossible jumps.</w:t>
      </w:r>
    </w:p>
    <w:p>
      <w:pPr>
        <w:pStyle w:val="ListParagraph"/>
        <w:numPr>
          <w:ilvl w:val="0"/>
          <w:numId w:val="2"/>
        </w:numPr>
        <w:spacing w:after="100" w:line="270"/>
      </w:pPr>
      <w:r>
        <w:t xml:space="preserve">Eyeball the first and last few rows.</w:t>
      </w:r>
    </w:p>
    <w:p>
      <w:pPr>
        <w:pStyle w:val="Heading1"/>
      </w:pPr>
      <w:r>
        <w:t xml:space="preserve">Phase 2 — Exploratory Data Analysis</w:t>
      </w:r>
    </w:p>
    <w:p>
      <w:pPr>
        <w:spacing w:after="160" w:line="276"/>
      </w:pPr>
      <w:r>
        <w:t xml:space="preserve">Plot every series over time first — you want to see the trends, regime changes, and the 2008 / 2011 / 2013 gold moves. Then look at distributions (histograms, skew). For relationships, build a correlation matrix and scatterplots of each feature against GLD.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8860B" w:sz="24"/>
              <w:bottom w:val="none"/>
              <w:right w:val="none"/>
            </w:tcBorders>
            <w:shd w:fill="F5F1E6" w:val="clear"/>
            <w:tcMar>
              <w:top w:type="dxa" w:w="120"/>
              <w:left w:type="dxa" w:w="200"/>
              <w:bottom w:type="dxa" w:w="120"/>
              <w:right w:type="dxa" w:w="160"/>
            </w:tcMar>
          </w:tcPr>
          <w:p>
            <w:pPr>
              <w:spacing w:after="60"/>
            </w:pPr>
            <w:r>
              <w:rPr>
                <w:b/>
                <w:bCs/>
                <w:color w:val="B8860B"/>
                <w:sz w:val="22"/>
                <w:szCs w:val="22"/>
              </w:rPr>
              <w:t xml:space="preserve">The key thing to interrogate</w:t>
            </w:r>
          </w:p>
          <w:p>
            <w:r>
              <w:rPr>
                <w:color w:val="1A1A1A"/>
                <w:sz w:val="22"/>
                <w:szCs w:val="22"/>
              </w:rPr>
              <w:t xml:space="preserve">SLV (silver) and GLD (gold) are economically close substitutes and tend to co-move strongly. Expect a high correlation. Since this is a nowcast, that co-movement is exactly what your model will lean on — so confront it head-on rather than letting it quietly inflate your score.</w:t>
            </w:r>
          </w:p>
        </w:tc>
      </w:tr>
    </w:tbl>
    <w:p>
      <w:pPr>
        <w:spacing w:after="160" w:line="276"/>
      </w:pPr>
      <w:r>
        <w:t xml:space="preserve">Two more things to check here:</w:t>
      </w:r>
    </w:p>
    <w:p>
      <w:pPr>
        <w:pStyle w:val="ListParagraph"/>
        <w:numPr>
          <w:ilvl w:val="0"/>
          <w:numId w:val="2"/>
        </w:numPr>
        <w:spacing w:after="100" w:line="270"/>
      </w:pPr>
      <w:r>
        <w:rPr>
          <w:b/>
          <w:bCs/>
        </w:rPr>
        <w:t xml:space="preserve">Multicollinearity</w:t>
      </w:r>
      <w:r>
        <w:t xml:space="preserve"> among features generally — it won't hurt prediction accuracy, but it wrecks coefficient interpretability.</w:t>
      </w:r>
    </w:p>
    <w:p>
      <w:pPr>
        <w:pStyle w:val="ListParagraph"/>
        <w:numPr>
          <w:ilvl w:val="0"/>
          <w:numId w:val="2"/>
        </w:numPr>
        <w:spacing w:after="100" w:line="270"/>
      </w:pPr>
      <w:r>
        <w:rPr>
          <w:b/>
          <w:bCs/>
        </w:rPr>
        <w:t xml:space="preserve">Stationarity</w:t>
      </w:r>
      <w:r>
        <w:t xml:space="preserve"> explicitly (rolling mean/variance over time, or an ADF test) so you understand the non-stationarity rather than ignoring it.</w:t>
      </w:r>
    </w:p>
    <w:p>
      <w:pPr>
        <w:pStyle w:val="Heading1"/>
      </w:pPr>
      <w:r>
        <w:t xml:space="preserve">Phase 3 — Feature Engineering</w:t>
      </w:r>
    </w:p>
    <w:p>
      <w:pPr>
        <w:spacing w:after="160" w:line="276"/>
      </w:pPr>
      <w:r>
        <w:t xml:space="preserve">The brief suggests 5-day rolling means, 1-day diffs, and calendar features (year / month / day-of-week). In a nowcast these describe recent market context to help explain today's gold — they are not forecasting anything. Keep them, but apply two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8860B" w:sz="24"/>
              <w:bottom w:val="none"/>
              <w:right w:val="none"/>
            </w:tcBorders>
            <w:shd w:fill="F5F1E6" w:val="clear"/>
            <w:tcMar>
              <w:top w:type="dxa" w:w="120"/>
              <w:left w:type="dxa" w:w="200"/>
              <w:bottom w:type="dxa" w:w="120"/>
              <w:right w:type="dxa" w:w="160"/>
            </w:tcMar>
          </w:tcPr>
          <w:p>
            <w:pPr>
              <w:spacing w:after="60"/>
            </w:pPr>
            <w:r>
              <w:rPr>
                <w:b/>
                <w:bCs/>
                <w:color w:val="B8860B"/>
                <w:sz w:val="22"/>
                <w:szCs w:val="22"/>
              </w:rPr>
              <w:t xml:space="preserve">Backward-looking only — and no target leakage</w:t>
            </w:r>
          </w:p>
          <w:p>
            <w:r>
              <w:rPr>
                <w:color w:val="1A1A1A"/>
                <w:sz w:val="22"/>
                <w:szCs w:val="22"/>
              </w:rPr>
              <w:t xml:space="preserve">Every rolling/lag feature must use only past and current data; rolling windows must trail, never center. And do not feed lags or diffs of GLD itself in as predictors — in a clean nowcast the target's own history is not an input. Engineer features from the four assets, not from gold.</w:t>
            </w:r>
          </w:p>
        </w:tc>
      </w:tr>
    </w:tbl>
    <w:p>
      <w:pPr>
        <w:spacing w:after="160" w:line="276"/>
      </w:pPr>
      <w:r>
        <w:t xml:space="preserve">Beyond the suggested features, consider:</w:t>
      </w:r>
    </w:p>
    <w:p>
      <w:pPr>
        <w:pStyle w:val="ListParagraph"/>
        <w:numPr>
          <w:ilvl w:val="0"/>
          <w:numId w:val="2"/>
        </w:numPr>
        <w:spacing w:after="100" w:line="270"/>
      </w:pPr>
      <w:r>
        <w:t xml:space="preserve">Returns instead of raw diffs for the feature assets.</w:t>
      </w:r>
    </w:p>
    <w:p>
      <w:pPr>
        <w:pStyle w:val="ListParagraph"/>
        <w:numPr>
          <w:ilvl w:val="0"/>
          <w:numId w:val="2"/>
        </w:numPr>
        <w:spacing w:after="100" w:line="270"/>
      </w:pPr>
      <w:r>
        <w:t xml:space="preserve">Ratios between assets, if economically sensible (built from the feature side).</w:t>
      </w:r>
    </w:p>
    <w:p>
      <w:pPr>
        <w:spacing w:after="160" w:line="276"/>
      </w:pPr>
      <w:r>
        <w:rPr>
          <w:b/>
          <w:bCs/>
        </w:rPr>
        <w:t xml:space="preserve">Don't over-engineer.</w:t>
      </w:r>
      <w:r>
        <w:t xml:space="preserve"> More features with this little data invites overfitting. Keep a clear record of how each feature is defined.</w:t>
      </w:r>
    </w:p>
    <w:p>
      <w:pPr>
        <w:spacing w:after="160" w:line="276"/>
      </w:pPr>
      <w:r>
        <w:t xml:space="preserve">Then handle the mechanics:</w:t>
      </w:r>
    </w:p>
    <w:p>
      <w:pPr>
        <w:pStyle w:val="ListParagraph"/>
        <w:numPr>
          <w:ilvl w:val="0"/>
          <w:numId w:val="2"/>
        </w:numPr>
        <w:spacing w:after="100" w:line="270"/>
      </w:pPr>
      <w:r>
        <w:t xml:space="preserve">Handle the NaNs that rolling/lag features create at the start of the series (drop or document).</w:t>
      </w:r>
    </w:p>
    <w:p>
      <w:pPr>
        <w:pStyle w:val="ListParagraph"/>
        <w:numPr>
          <w:ilvl w:val="0"/>
          <w:numId w:val="2"/>
        </w:numPr>
        <w:spacing w:after="100" w:line="270"/>
      </w:pPr>
      <w:r>
        <w:t xml:space="preserve">Decide on scaling — needed for linear/regularized and distance-based models, irrelevant for trees — and </w:t>
      </w:r>
      <w:r>
        <w:rPr>
          <w:b/>
          <w:bCs/>
        </w:rPr>
        <w:t xml:space="preserve">fit the scaler on training data only.</w:t>
      </w:r>
    </w:p>
    <w:p>
      <w:pPr>
        <w:pStyle w:val="Heading1"/>
      </w:pPr>
      <w:r>
        <w:t xml:space="preserve">Phase 4 — Design the Validation Strategy</w:t>
      </w:r>
    </w:p>
    <w:p>
      <w:pPr>
        <w:spacing w:after="160" w:line="276"/>
      </w:pPr>
      <w:r>
        <w:rPr>
          <w:b/>
          <w:bCs/>
        </w:rPr>
        <w:t xml:space="preserve">Do this before modeling. This is the financial-data landmine.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8860B" w:sz="24"/>
              <w:bottom w:val="none"/>
              <w:right w:val="none"/>
            </w:tcBorders>
            <w:shd w:fill="F5F1E6" w:val="clear"/>
            <w:tcMar>
              <w:top w:type="dxa" w:w="120"/>
              <w:left w:type="dxa" w:w="200"/>
              <w:bottom w:type="dxa" w:w="120"/>
              <w:right w:type="dxa" w:w="160"/>
            </w:tcMar>
          </w:tcPr>
          <w:p>
            <w:pPr>
              <w:spacing w:after="60"/>
            </w:pPr>
            <w:r>
              <w:rPr>
                <w:b/>
                <w:bCs/>
                <w:color w:val="B8860B"/>
                <w:sz w:val="22"/>
                <w:szCs w:val="22"/>
              </w:rPr>
              <w:t xml:space="preserve">Never use a random split or standard k-fold on time series</w:t>
            </w:r>
          </w:p>
          <w:p>
            <w:r>
              <w:rPr>
                <w:color w:val="1A1A1A"/>
                <w:sz w:val="22"/>
                <w:szCs w:val="22"/>
              </w:rPr>
              <w:t xml:space="preserve">Choosing a nowcast does NOT let you go back to random splits. The rows are still time-ordered and autocorrelated. Random splitting lets the model train on dates surrounding the test dates — leakage that inflates your score and won't survive contact with reality.</w:t>
            </w:r>
          </w:p>
        </w:tc>
      </w:tr>
    </w:tbl>
    <w:p>
      <w:pPr>
        <w:pStyle w:val="ListParagraph"/>
        <w:numPr>
          <w:ilvl w:val="0"/>
          <w:numId w:val="2"/>
        </w:numPr>
        <w:spacing w:after="100" w:line="270"/>
      </w:pPr>
      <w:r>
        <w:rPr>
          <w:b/>
          <w:bCs/>
        </w:rPr>
        <w:t xml:space="preserve">Chronological split</w:t>
      </w:r>
      <w:r>
        <w:t xml:space="preserve"> — train on the earliest period, validate/test on later periods.</w:t>
      </w:r>
    </w:p>
    <w:p>
      <w:pPr>
        <w:pStyle w:val="ListParagraph"/>
        <w:numPr>
          <w:ilvl w:val="0"/>
          <w:numId w:val="2"/>
        </w:numPr>
        <w:spacing w:after="100" w:line="270"/>
      </w:pPr>
      <w:r>
        <w:rPr>
          <w:b/>
          <w:bCs/>
        </w:rPr>
        <w:t xml:space="preserve">Walk-forward CV</w:t>
      </w:r>
      <w:r>
        <w:t xml:space="preserve"> — use a time-series (expanding or rolling window) scheme so every evaluation tests on a block that comes after its training block.</w:t>
      </w:r>
    </w:p>
    <w:p>
      <w:pPr>
        <w:pStyle w:val="ListParagraph"/>
        <w:numPr>
          <w:ilvl w:val="0"/>
          <w:numId w:val="2"/>
        </w:numPr>
        <w:spacing w:after="100" w:line="270"/>
      </w:pPr>
      <w:r>
        <w:rPr>
          <w:b/>
          <w:bCs/>
        </w:rPr>
        <w:t xml:space="preserve">Final holdout</w:t>
      </w:r>
      <w:r>
        <w:t xml:space="preserve"> — reserve a last chronological chunk you never touch until the very end.</w:t>
      </w:r>
    </w:p>
    <w:p>
      <w:pPr>
        <w:pStyle w:val="Heading1"/>
      </w:pPr>
      <w:r>
        <w:t xml:space="preserve">Phase 5 — Modeling, Simple First</w:t>
      </w:r>
    </w:p>
    <w:p>
      <w:pPr>
        <w:spacing w:after="160" w:line="276"/>
      </w:pPr>
      <w:r>
        <w:t xml:space="preserve">Build up in order of complexity, and make each model earn its place against the one before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EAE0C8" w:val="clear"/>
            <w:tcMar>
              <w:top w:type="dxa" w:w="80"/>
              <w:left w:type="dxa" w:w="140"/>
              <w:bottom w:type="dxa" w:w="80"/>
              <w:right w:type="dxa" w:w="140"/>
            </w:tcMar>
          </w:tcPr>
          <w:p>
            <w:r>
              <w:rPr>
                <w:b/>
                <w:bCs/>
                <w:color w:val="1A1A1A"/>
              </w:rPr>
              <w:t xml:space="preserve">Model</w:t>
            </w:r>
          </w:p>
        </w:tc>
        <w:tc>
          <w:tcPr>
            <w:tcW w:type="dxa" w:w="5760"/>
            <w:tcBorders>
              <w:top w:val="single" w:color="CCCCCC" w:sz="1"/>
              <w:left w:val="single" w:color="CCCCCC" w:sz="1"/>
              <w:bottom w:val="single" w:color="CCCCCC" w:sz="1"/>
              <w:right w:val="single" w:color="CCCCCC" w:sz="1"/>
            </w:tcBorders>
            <w:shd w:fill="EAE0C8" w:val="clear"/>
            <w:tcMar>
              <w:top w:type="dxa" w:w="80"/>
              <w:left w:type="dxa" w:w="140"/>
              <w:bottom w:type="dxa" w:w="80"/>
              <w:right w:type="dxa" w:w="140"/>
            </w:tcMar>
          </w:tcPr>
          <w:p>
            <w:r>
              <w:rPr>
                <w:b/>
                <w:bCs/>
                <w:color w:val="1A1A1A"/>
              </w:rPr>
              <w:t xml:space="preserve">Role / Why</w:t>
            </w:r>
          </w:p>
        </w:tc>
      </w:tr>
      <w:tr>
        <w:tc>
          <w:tcPr>
            <w:tcW w:type="dxa" w:w="3600"/>
            <w:tcBorders>
              <w:top w:val="single" w:color="CCCCCC" w:sz="1"/>
              <w:left w:val="single" w:color="CCCCCC" w:sz="1"/>
              <w:bottom w:val="single" w:color="CCCCCC" w:sz="1"/>
              <w:right w:val="single" w:color="CCCCCC" w:sz="1"/>
            </w:tcBorders>
            <w:shd w:fill="F5F1E6" w:val="clear"/>
            <w:tcMar>
              <w:top w:type="dxa" w:w="80"/>
              <w:left w:type="dxa" w:w="140"/>
              <w:bottom w:type="dxa" w:w="80"/>
              <w:right w:type="dxa" w:w="140"/>
            </w:tcMar>
          </w:tcPr>
          <w:p>
            <w:r>
              <w:rPr>
                <w:b/>
                <w:bCs/>
                <w:sz w:val="21"/>
                <w:szCs w:val="21"/>
              </w:rPr>
              <w:t xml:space="preserve">Mean predictor (baseline)</w:t>
            </w:r>
          </w:p>
        </w:tc>
        <w:tc>
          <w:tcPr>
            <w:tcW w:type="dxa" w:w="5760"/>
            <w:tcBorders>
              <w:top w:val="single" w:color="CCCCCC" w:sz="1"/>
              <w:left w:val="single" w:color="CCCCCC" w:sz="1"/>
              <w:bottom w:val="single" w:color="CCCCCC" w:sz="1"/>
              <w:right w:val="single" w:color="CCCCCC" w:sz="1"/>
            </w:tcBorders>
            <w:shd w:fill="F5F1E6" w:val="clear"/>
            <w:tcMar>
              <w:top w:type="dxa" w:w="80"/>
              <w:left w:type="dxa" w:w="140"/>
              <w:bottom w:type="dxa" w:w="80"/>
              <w:right w:type="dxa" w:w="140"/>
            </w:tcMar>
          </w:tcPr>
          <w:p>
            <w:r>
              <w:rPr>
                <w:b w:val="false"/>
                <w:bCs w:val="false"/>
                <w:sz w:val="21"/>
                <w:szCs w:val="21"/>
              </w:rPr>
              <w:t xml:space="preserve">Predict the training mean of GLD. The floor every model must clear.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bCs/>
                <w:sz w:val="21"/>
                <w:szCs w:val="21"/>
              </w:rPr>
              <w:t xml:space="preserve">SLV-only regression (baseline)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sz w:val="21"/>
                <w:szCs w:val="21"/>
              </w:rPr>
              <w:t xml:space="preserve">Predict GLD from silver alone. The real bar — your model must beat this.</w:t>
            </w:r>
          </w:p>
        </w:tc>
      </w:tr>
      <w:tr>
        <w:tc>
          <w:tcPr>
            <w:tcW w:type="dxa" w:w="3600"/>
            <w:tcBorders>
              <w:top w:val="single" w:color="CCCCCC" w:sz="1"/>
              <w:left w:val="single" w:color="CCCCCC" w:sz="1"/>
              <w:bottom w:val="single" w:color="CCCCCC" w:sz="1"/>
              <w:right w:val="single" w:color="CCCCCC" w:sz="1"/>
            </w:tcBorders>
            <w:shd w:fill="F5F1E6" w:val="clear"/>
            <w:tcMar>
              <w:top w:type="dxa" w:w="80"/>
              <w:left w:type="dxa" w:w="140"/>
              <w:bottom w:type="dxa" w:w="80"/>
              <w:right w:type="dxa" w:w="140"/>
            </w:tcMar>
          </w:tcPr>
          <w:p>
            <w:r>
              <w:rPr>
                <w:b/>
                <w:bCs/>
                <w:sz w:val="21"/>
                <w:szCs w:val="21"/>
              </w:rPr>
              <w:t xml:space="preserve">Linear regression</w:t>
            </w:r>
          </w:p>
        </w:tc>
        <w:tc>
          <w:tcPr>
            <w:tcW w:type="dxa" w:w="5760"/>
            <w:tcBorders>
              <w:top w:val="single" w:color="CCCCCC" w:sz="1"/>
              <w:left w:val="single" w:color="CCCCCC" w:sz="1"/>
              <w:bottom w:val="single" w:color="CCCCCC" w:sz="1"/>
              <w:right w:val="single" w:color="CCCCCC" w:sz="1"/>
            </w:tcBorders>
            <w:shd w:fill="F5F1E6" w:val="clear"/>
            <w:tcMar>
              <w:top w:type="dxa" w:w="80"/>
              <w:left w:type="dxa" w:w="140"/>
              <w:bottom w:type="dxa" w:w="80"/>
              <w:right w:type="dxa" w:w="140"/>
            </w:tcMar>
          </w:tcPr>
          <w:p>
            <w:r>
              <w:rPr>
                <w:b w:val="false"/>
                <w:bCs w:val="false"/>
                <w:sz w:val="21"/>
                <w:szCs w:val="21"/>
              </w:rPr>
              <w:t xml:space="preserve">First multi-feature model. Interpretable; surprisingly strong on co-moving assets.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bCs/>
                <w:sz w:val="21"/>
                <w:szCs w:val="21"/>
              </w:rPr>
              <w:t xml:space="preserve">Ridge / Lasso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b w:val="false"/>
                <w:bCs w:val="false"/>
                <w:sz w:val="21"/>
                <w:szCs w:val="21"/>
              </w:rPr>
              <w:t xml:space="preserve">Handles the multicollinearity found in EDA.</w:t>
            </w:r>
          </w:p>
        </w:tc>
      </w:tr>
      <w:tr>
        <w:tc>
          <w:tcPr>
            <w:tcW w:type="dxa" w:w="3600"/>
            <w:tcBorders>
              <w:top w:val="single" w:color="CCCCCC" w:sz="1"/>
              <w:left w:val="single" w:color="CCCCCC" w:sz="1"/>
              <w:bottom w:val="single" w:color="CCCCCC" w:sz="1"/>
              <w:right w:val="single" w:color="CCCCCC" w:sz="1"/>
            </w:tcBorders>
            <w:shd w:fill="F5F1E6" w:val="clear"/>
            <w:tcMar>
              <w:top w:type="dxa" w:w="80"/>
              <w:left w:type="dxa" w:w="140"/>
              <w:bottom w:type="dxa" w:w="80"/>
              <w:right w:type="dxa" w:w="140"/>
            </w:tcMar>
          </w:tcPr>
          <w:p>
            <w:r>
              <w:rPr>
                <w:b/>
                <w:bCs/>
                <w:sz w:val="21"/>
                <w:szCs w:val="21"/>
              </w:rPr>
              <w:t xml:space="preserve">Random Forest / Gradient Boosting</w:t>
            </w:r>
          </w:p>
        </w:tc>
        <w:tc>
          <w:tcPr>
            <w:tcW w:type="dxa" w:w="5760"/>
            <w:tcBorders>
              <w:top w:val="single" w:color="CCCCCC" w:sz="1"/>
              <w:left w:val="single" w:color="CCCCCC" w:sz="1"/>
              <w:bottom w:val="single" w:color="CCCCCC" w:sz="1"/>
              <w:right w:val="single" w:color="CCCCCC" w:sz="1"/>
            </w:tcBorders>
            <w:shd w:fill="F5F1E6" w:val="clear"/>
            <w:tcMar>
              <w:top w:type="dxa" w:w="80"/>
              <w:left w:type="dxa" w:w="140"/>
              <w:bottom w:type="dxa" w:w="80"/>
              <w:right w:type="dxa" w:w="140"/>
            </w:tcMar>
          </w:tcPr>
          <w:p>
            <w:r>
              <w:rPr>
                <w:b w:val="false"/>
                <w:bCs w:val="false"/>
                <w:sz w:val="21"/>
                <w:szCs w:val="21"/>
              </w:rPr>
              <w:t xml:space="preserve">Captures non-linearities. Use only if it earns its place.</w:t>
            </w:r>
          </w:p>
        </w:tc>
      </w:tr>
    </w:tbl>
    <w:p>
      <w:pPr>
        <w:spacing w:after="160" w:line="276"/>
      </w:pPr>
      <w:r>
        <w:rPr>
          <w:b/>
          <w:bCs/>
        </w:rPr>
        <w:t xml:space="preserve">Tune hyperparameters using your time-aware CV from Phase 4</w:t>
      </w:r>
      <w:r>
        <w:t xml:space="preserve"> — not a random search over shuffled folds. Go complex only if it beats the simpler models and the SLV-only baseline.</w:t>
      </w:r>
    </w:p>
    <w:p>
      <w:pPr>
        <w:pStyle w:val="Heading1"/>
      </w:pPr>
      <w:r>
        <w:t xml:space="preserve">Phase 6 — Evaluate Honestly</w:t>
      </w:r>
    </w:p>
    <w:p>
      <w:pPr>
        <w:pStyle w:val="ListParagraph"/>
        <w:numPr>
          <w:ilvl w:val="0"/>
          <w:numId w:val="2"/>
        </w:numPr>
        <w:spacing w:after="100" w:line="270"/>
      </w:pPr>
      <w:r>
        <w:t xml:space="preserve">Report your chosen metrics on the untouched holdout, always next to the mean and SLV-only baselines.</w:t>
      </w:r>
    </w:p>
    <w:p>
      <w:pPr>
        <w:pStyle w:val="ListParagraph"/>
        <w:numPr>
          <w:ilvl w:val="0"/>
          <w:numId w:val="2"/>
        </w:numPr>
        <w:spacing w:after="100" w:line="270"/>
      </w:pPr>
      <w:r>
        <w:t xml:space="preserve">Plot predicted vs. actual over time.</w:t>
      </w:r>
    </w:p>
    <w:p>
      <w:pPr>
        <w:pStyle w:val="ListParagraph"/>
        <w:numPr>
          <w:ilvl w:val="0"/>
          <w:numId w:val="2"/>
        </w:numPr>
        <w:spacing w:after="100" w:line="270"/>
      </w:pPr>
      <w:r>
        <w:t xml:space="preserve">Plot residuals over time. For a time series you specifically want to see whether errors </w:t>
      </w:r>
      <w:r>
        <w:rPr>
          <w:i/>
          <w:iCs/>
        </w:rPr>
        <w:t xml:space="preserve">cluster in certain periods</w:t>
      </w:r>
      <w:r>
        <w:t xml:space="preserve"> (regime dependence) or whether residuals are autocorrelated (a sign you've left structure on the table).</w:t>
      </w:r>
    </w:p>
    <w:p>
      <w:pPr>
        <w:pStyle w:val="Heading1"/>
      </w:pPr>
      <w:r>
        <w:t xml:space="preserve">Phase 7 — Interpret and Error Analysis</w:t>
      </w:r>
    </w:p>
    <w:p>
      <w:pPr>
        <w:pStyle w:val="ListParagraph"/>
        <w:numPr>
          <w:ilvl w:val="0"/>
          <w:numId w:val="2"/>
        </w:numPr>
        <w:spacing w:after="100" w:line="270"/>
      </w:pPr>
      <w:r>
        <w:t xml:space="preserve">Look at coefficients (linear) or feature importance (trees).</w:t>
      </w:r>
    </w:p>
    <w:p>
      <w:pPr>
        <w:pStyle w:val="ListParagraph"/>
        <w:numPr>
          <w:ilvl w:val="0"/>
          <w:numId w:val="2"/>
        </w:numPr>
        <w:spacing w:after="100" w:line="270"/>
      </w:pPr>
      <w:r>
        <w:t xml:space="preserve">Ask whether the model leans almost entirely on SLV, and whether that matches the economics. In a nowcast this is the central question, not a footnote.</w:t>
      </w:r>
    </w:p>
    <w:p>
      <w:pPr>
        <w:pStyle w:val="ListParagraph"/>
        <w:numPr>
          <w:ilvl w:val="0"/>
          <w:numId w:val="2"/>
        </w:numPr>
        <w:spacing w:after="100" w:line="270"/>
      </w:pPr>
      <w:r>
        <w:t xml:space="preserve">Find where it fails worst — big gold moves, volatile periods — and characterize why. This is what turns a model into an insight.</w:t>
      </w:r>
    </w:p>
    <w:p>
      <w:pPr>
        <w:pStyle w:val="Heading1"/>
      </w:pPr>
      <w:r>
        <w:t xml:space="preserve">Phase 8 — Package and Communicate</w:t>
      </w:r>
    </w:p>
    <w:p>
      <w:pPr>
        <w:spacing w:after="160" w:line="276"/>
      </w:pPr>
      <w:r>
        <w:t xml:space="preserve">At a big-tech company the writeup matters as much as the model. Produce a clean narrative covering:</w:t>
      </w:r>
    </w:p>
    <w:p>
      <w:pPr>
        <w:pStyle w:val="ListParagraph"/>
        <w:numPr>
          <w:ilvl w:val="0"/>
          <w:numId w:val="2"/>
        </w:numPr>
        <w:spacing w:after="100" w:line="270"/>
      </w:pPr>
      <w:r>
        <w:t xml:space="preserve">Problem framing — stated explicitly as a nowcast, not a forecast.</w:t>
      </w:r>
    </w:p>
    <w:p>
      <w:pPr>
        <w:pStyle w:val="ListParagraph"/>
        <w:numPr>
          <w:ilvl w:val="0"/>
          <w:numId w:val="2"/>
        </w:numPr>
        <w:spacing w:after="100" w:line="270"/>
      </w:pPr>
      <w:r>
        <w:t xml:space="preserve">Key EDA findings.</w:t>
      </w:r>
    </w:p>
    <w:p>
      <w:pPr>
        <w:pStyle w:val="ListParagraph"/>
        <w:numPr>
          <w:ilvl w:val="0"/>
          <w:numId w:val="2"/>
        </w:numPr>
        <w:spacing w:after="100" w:line="270"/>
      </w:pPr>
      <w:r>
        <w:t xml:space="preserve">Validation choices and why.</w:t>
      </w:r>
    </w:p>
    <w:p>
      <w:pPr>
        <w:pStyle w:val="ListParagraph"/>
        <w:numPr>
          <w:ilvl w:val="0"/>
          <w:numId w:val="2"/>
        </w:numPr>
        <w:spacing w:after="100" w:line="270"/>
      </w:pPr>
      <w:r>
        <w:t xml:space="preserve">Model comparison table against the mean and SLV-only baselines.</w:t>
      </w:r>
    </w:p>
    <w:p>
      <w:pPr>
        <w:pStyle w:val="ListParagraph"/>
        <w:numPr>
          <w:ilvl w:val="0"/>
          <w:numId w:val="2"/>
        </w:numPr>
        <w:spacing w:after="100" w:line="270"/>
      </w:pPr>
      <w:r>
        <w:t xml:space="preserve">Limitations: small data, non-stationarity, the silver/gold co-movement caveat, and that a high R² is contemporaneous explanation.</w:t>
      </w:r>
    </w:p>
    <w:p>
      <w:pPr>
        <w:pStyle w:val="ListParagraph"/>
        <w:numPr>
          <w:ilvl w:val="0"/>
          <w:numId w:val="2"/>
        </w:numPr>
        <w:spacing w:after="100" w:line="270"/>
      </w:pPr>
      <w:r>
        <w:t xml:space="preserve">What you'd do with more time or data.</w:t>
      </w:r>
    </w:p>
    <w:p>
      <w:pPr>
        <w:spacing w:after="160" w:line="276"/>
      </w:pPr>
      <w:r>
        <w:rPr>
          <w:b/>
          <w:bCs/>
        </w:rPr>
        <w:t xml:space="preserve">Make the notebook reproducible</w:t>
      </w:r>
      <w:r>
        <w:t xml:space="preserve"> — fixed seeds, clear cell order, environment noted.</w:t>
      </w:r>
    </w:p>
    <w:p>
      <w:pPr>
        <w:pStyle w:val="Heading1"/>
      </w:pPr>
      <w:r>
        <w:t xml:space="preserve">The Two Things That Matter Most</w:t>
      </w:r>
    </w:p>
    <w:p>
      <w:pPr>
        <w:spacing w:after="160" w:line="276"/>
      </w:pPr>
      <w:r>
        <w:t xml:space="preserve">If you remember nothing else from this guideline, remember these — they are what distinguish your work from a junior attempt:</w:t>
      </w:r>
    </w:p>
    <w:p>
      <w:pPr>
        <w:pStyle w:val="ListParagraph"/>
        <w:numPr>
          <w:ilvl w:val="0"/>
          <w:numId w:val="2"/>
        </w:numPr>
        <w:spacing w:after="100" w:line="270"/>
      </w:pPr>
      <w:r>
        <w:rPr>
          <w:b/>
          <w:bCs/>
        </w:rPr>
        <w:t xml:space="preserve">Refuse random splits on time-series data</w:t>
      </w:r>
      <w:r>
        <w:t xml:space="preserve"> (Phase 4) — nowcasting does not change this.</w:t>
      </w:r>
    </w:p>
    <w:p>
      <w:pPr>
        <w:pStyle w:val="ListParagraph"/>
        <w:numPr>
          <w:ilvl w:val="0"/>
          <w:numId w:val="2"/>
        </w:numPr>
        <w:spacing w:after="100" w:line="270"/>
      </w:pPr>
      <w:r>
        <w:rPr>
          <w:b/>
          <w:bCs/>
        </w:rPr>
        <w:t xml:space="preserve">Be intellectually honest about the SLV–GLD co-movement</w:t>
      </w:r>
      <w:r>
        <w:t xml:space="preserve"> (Phases 2 and 7), so you don't oversell a high-R² contemporaneous fit as if it were a forecast.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555555"/>
        <w:sz w:val="16"/>
        <w:szCs w:val="16"/>
      </w:rPr>
      <w:t xml:space="preserve">Gold Price Prediction  ·  Data Science Workflow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B8860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rFonts w:ascii="Calibri" w:cs="Calibri" w:eastAsia="Calibri" w:hAnsi="Calibri"/>
      <w:b/>
      <w:bCs/>
      <w:color w:val="1A1A1A"/>
      <w:sz w:val="52"/>
      <w:szCs w:val="52"/>
    </w:rPr>
  </w:style>
  <w:style w:type="paragraph" w:styleId="Heading1">
    <w:name w:val="Heading 1"/>
    <w:basedOn w:val="Normal"/>
    <w:next w:val="Normal"/>
    <w:qFormat/>
    <w:pPr>
      <w:pBdr>
        <w:bottom w:val="single" w:color="B8860B" w:sz="8" w:space="4"/>
      </w:pBdr>
      <w:spacing w:after="160" w:before="320"/>
      <w:outlineLvl w:val="0"/>
    </w:pPr>
    <w:rPr>
      <w:rFonts w:ascii="Calibri" w:cs="Calibri" w:eastAsia="Calibri" w:hAnsi="Calibri"/>
      <w:b/>
      <w:bCs/>
      <w:color w:val="1A1A1A"/>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B8860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 Price Prediction — Project Guideline</dc:title>
  <dc:creator>Data Science Guideline</dc:creator>
  <cp:lastModifiedBy>Un-named</cp:lastModifiedBy>
  <cp:revision>1</cp:revision>
  <dcterms:created xsi:type="dcterms:W3CDTF">2026-06-29T00:54:44.023Z</dcterms:created>
  <dcterms:modified xsi:type="dcterms:W3CDTF">2026-06-29T00:54:44.024Z</dcterms:modified>
</cp:coreProperties>
</file>

<file path=docProps/custom.xml><?xml version="1.0" encoding="utf-8"?>
<Properties xmlns="http://schemas.openxmlformats.org/officeDocument/2006/custom-properties" xmlns:vt="http://schemas.openxmlformats.org/officeDocument/2006/docPropsVTypes"/>
</file>