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digital</w:t>
      </w:r>
      <w:r>
        <w:t xml:space="preserve"> </w:t>
      </w:r>
      <w:r>
        <w:t xml:space="preserve">biodiversity</w:t>
      </w:r>
      <w:r>
        <w:t xml:space="preserve"> </w:t>
      </w:r>
      <w:r>
        <w:t xml:space="preserve">knowledge</w:t>
      </w:r>
      <w:r>
        <w:t xml:space="preserve"> </w:t>
      </w:r>
      <w:r>
        <w:t xml:space="preserve">about</w:t>
      </w:r>
      <w:r>
        <w:t xml:space="preserve"> </w:t>
      </w:r>
      <w:r>
        <w:t xml:space="preserve">vertebrates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Atlantic</w:t>
      </w:r>
      <w:r>
        <w:t xml:space="preserve"> </w:t>
      </w:r>
      <w:r>
        <w:t xml:space="preserve">Rainforest</w:t>
      </w:r>
    </w:p>
    <w:p>
      <w:pPr>
        <w:pStyle w:val="Author"/>
      </w:pPr>
      <w:r>
        <w:t xml:space="preserve">Gracielle</w:t>
      </w:r>
      <w:r>
        <w:t xml:space="preserve"> </w:t>
      </w:r>
      <w:r>
        <w:t xml:space="preserve">T.</w:t>
      </w:r>
      <w:r>
        <w:t xml:space="preserve"> </w:t>
      </w:r>
      <w:r>
        <w:t xml:space="preserve">Higino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*,</w:t>
      </w:r>
      <w:r>
        <w:t xml:space="preserve"> </w:t>
      </w:r>
      <w:r>
        <w:t xml:space="preserve">Pablo</w:t>
      </w:r>
      <w:r>
        <w:t xml:space="preserve"> </w:t>
      </w:r>
      <w:r>
        <w:t xml:space="preserve">Henrique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Marcos</w:t>
      </w:r>
      <w:r>
        <w:t xml:space="preserve"> </w:t>
      </w:r>
      <w:r>
        <w:t xml:space="preserve">V.</w:t>
      </w:r>
      <w:r>
        <w:t xml:space="preserve"> </w:t>
      </w:r>
      <w:r>
        <w:t xml:space="preserve">C.</w:t>
      </w:r>
      <w:r>
        <w:t xml:space="preserve"> </w:t>
      </w:r>
      <w:r>
        <w:t xml:space="preserve">Vital</w:t>
      </w:r>
      <w:r>
        <w:rPr>
          <w:vertAlign w:val="superscript"/>
        </w:rPr>
        <w:t xml:space="preserve">4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Zoology</w:t>
      </w:r>
      <w:r>
        <w:t xml:space="preserve"> </w:t>
      </w:r>
      <w:r>
        <w:t xml:space="preserve">and</w:t>
      </w:r>
      <w:r>
        <w:t xml:space="preserve"> </w:t>
      </w:r>
      <w:r>
        <w:t xml:space="preserve">Biodiversity</w:t>
      </w:r>
      <w:r>
        <w:t xml:space="preserve"> </w:t>
      </w:r>
      <w:r>
        <w:t xml:space="preserve">Research</w:t>
      </w:r>
      <w:r>
        <w:t xml:space="preserve"> </w:t>
      </w:r>
      <w:r>
        <w:t xml:space="preserve">Centre,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British</w:t>
      </w:r>
      <w:r>
        <w:t xml:space="preserve"> </w:t>
      </w:r>
      <w:r>
        <w:t xml:space="preserve">Columbia,</w:t>
      </w:r>
      <w:r>
        <w:t xml:space="preserve"> </w:t>
      </w:r>
      <w:r>
        <w:t xml:space="preserve">Vancouver,</w:t>
      </w:r>
      <w:r>
        <w:t xml:space="preserve"> </w:t>
      </w:r>
      <w:r>
        <w:t xml:space="preserve">BC,</w:t>
      </w:r>
      <w:r>
        <w:t xml:space="preserve"> </w:t>
      </w:r>
      <w:r>
        <w:t xml:space="preserve">Canada.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Programme</w:t>
      </w:r>
      <w:r>
        <w:t xml:space="preserve"> </w:t>
      </w:r>
      <w:r>
        <w:t xml:space="preserve">de</w:t>
      </w:r>
      <w:r>
        <w:t xml:space="preserve"> </w:t>
      </w:r>
      <w:r>
        <w:t xml:space="preserve">formation</w:t>
      </w:r>
      <w:r>
        <w:t xml:space="preserve"> </w:t>
      </w:r>
      <w:r>
        <w:t xml:space="preserve">en</w:t>
      </w:r>
      <w:r>
        <w:t xml:space="preserve"> </w:t>
      </w:r>
      <w:r>
        <w:t xml:space="preserve">sciences</w:t>
      </w:r>
      <w:r>
        <w:t xml:space="preserve"> </w:t>
      </w:r>
      <w:r>
        <w:t xml:space="preserve">et</w:t>
      </w:r>
      <w:r>
        <w:t xml:space="preserve"> </w:t>
      </w:r>
      <w:r>
        <w:t xml:space="preserve">services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biodiversité</w:t>
      </w:r>
      <w:r>
        <w:t xml:space="preserve"> </w:t>
      </w:r>
      <w:r>
        <w:t xml:space="preserve">computationnelle,</w:t>
      </w:r>
      <w:r>
        <w:t xml:space="preserve"> </w:t>
      </w:r>
      <w:r>
        <w:t xml:space="preserve">Canada.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Instituto</w:t>
      </w:r>
      <w:r>
        <w:t xml:space="preserve"> </w:t>
      </w:r>
      <w:r>
        <w:t xml:space="preserve">de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Estatística,</w:t>
      </w:r>
      <w:r>
        <w:t xml:space="preserve"> </w:t>
      </w:r>
      <w:r>
        <w:t xml:space="preserve">Universidade</w:t>
      </w:r>
      <w:r>
        <w:t xml:space="preserve"> </w:t>
      </w:r>
      <w:r>
        <w:t xml:space="preserve">Federal</w:t>
      </w:r>
      <w:r>
        <w:t xml:space="preserve"> </w:t>
      </w:r>
      <w:r>
        <w:t xml:space="preserve">de</w:t>
      </w:r>
      <w:r>
        <w:t xml:space="preserve"> </w:t>
      </w:r>
      <w:r>
        <w:t xml:space="preserve">Goiás,</w:t>
      </w:r>
      <w:r>
        <w:t xml:space="preserve"> </w:t>
      </w:r>
      <w:r>
        <w:t xml:space="preserve">Goiânia,</w:t>
      </w:r>
      <w:r>
        <w:t xml:space="preserve"> </w:t>
      </w:r>
      <w:r>
        <w:t xml:space="preserve">Brazil.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 </w:t>
      </w:r>
      <w:r>
        <w:t xml:space="preserve">Instituto</w:t>
      </w:r>
      <w:r>
        <w:t xml:space="preserve"> </w:t>
      </w:r>
      <w:r>
        <w:t xml:space="preserve">de</w:t>
      </w:r>
      <w:r>
        <w:t xml:space="preserve"> </w:t>
      </w:r>
      <w:r>
        <w:t xml:space="preserve">Ciências</w:t>
      </w:r>
      <w:r>
        <w:t xml:space="preserve"> </w:t>
      </w:r>
      <w:r>
        <w:t xml:space="preserve">Biológicas</w:t>
      </w:r>
      <w:r>
        <w:t xml:space="preserve"> </w:t>
      </w:r>
      <w:r>
        <w:t xml:space="preserve">e</w:t>
      </w:r>
      <w:r>
        <w:t xml:space="preserve"> </w:t>
      </w:r>
      <w:r>
        <w:t xml:space="preserve">da</w:t>
      </w:r>
      <w:r>
        <w:t xml:space="preserve"> </w:t>
      </w:r>
      <w:r>
        <w:t xml:space="preserve">Saúde,</w:t>
      </w:r>
      <w:r>
        <w:t xml:space="preserve"> </w:t>
      </w:r>
      <w:r>
        <w:t xml:space="preserve">Universidade</w:t>
      </w:r>
      <w:r>
        <w:t xml:space="preserve"> </w:t>
      </w:r>
      <w:r>
        <w:t xml:space="preserve">Federal</w:t>
      </w:r>
      <w:r>
        <w:t xml:space="preserve"> </w:t>
      </w:r>
      <w:r>
        <w:t xml:space="preserve">de</w:t>
      </w:r>
      <w:r>
        <w:t xml:space="preserve"> </w:t>
      </w:r>
      <w:r>
        <w:t xml:space="preserve">Alagoas,</w:t>
      </w:r>
      <w:r>
        <w:t xml:space="preserve"> </w:t>
      </w:r>
      <w:r>
        <w:t xml:space="preserve">Maceió,</w:t>
      </w:r>
      <w:r>
        <w:t xml:space="preserve"> </w:t>
      </w:r>
      <w:r>
        <w:t xml:space="preserve">AL,</w:t>
      </w:r>
      <w:r>
        <w:t xml:space="preserve"> </w:t>
      </w:r>
      <w:r>
        <w:t xml:space="preserve">Brazil</w:t>
      </w:r>
    </w:p>
    <w:p>
      <w:pPr>
        <w:pStyle w:val="Author"/>
      </w:pPr>
    </w:p>
    <w:p>
      <w:pPr>
        <w:pStyle w:val="Author"/>
      </w:pPr>
    </w:p>
    <w:p>
      <w:pPr>
        <w:pStyle w:val="Author"/>
      </w:pPr>
    </w:p>
    <w:p>
      <w:pPr>
        <w:pStyle w:val="Author"/>
      </w:pPr>
      <w:r>
        <w:t xml:space="preserve">*Corresponding</w:t>
      </w:r>
      <w:r>
        <w:t xml:space="preserve"> </w:t>
      </w:r>
      <w:r>
        <w:t xml:space="preserve">author</w:t>
      </w:r>
    </w:p>
    <w:p>
      <w:pPr>
        <w:pStyle w:val="Author"/>
      </w:pPr>
      <w:r>
        <w:t xml:space="preserve">*</w:t>
      </w:r>
      <w:hyperlink r:id="rId20">
        <w:r>
          <w:rPr>
            <w:rStyle w:val="Hyperlink"/>
            <w:b/>
          </w:rPr>
          <w:t xml:space="preserve">graciellehigino@gmail.com</w:t>
        </w:r>
      </w:hyperlink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Biases and gaps in biodiversity data can have serious consequences on ecological</w:t>
      </w:r>
      <w:r>
        <w:t xml:space="preserve"> </w:t>
      </w:r>
      <w:r>
        <w:t xml:space="preserve">and conservation research and actions, as it can lead to incorrect conclusions.</w:t>
      </w:r>
      <w:r>
        <w:t xml:space="preserve"> </w:t>
      </w:r>
      <w:r>
        <w:t xml:space="preserve">Although there is still digital knowledge to be found and organized, recent</w:t>
      </w:r>
      <w:r>
        <w:t xml:space="preserve"> </w:t>
      </w:r>
      <w:r>
        <w:t xml:space="preserve">efforts on gathering global biodiversity data, such as data papers, have</w:t>
      </w:r>
      <w:r>
        <w:t xml:space="preserve"> </w:t>
      </w:r>
      <w:r>
        <w:t xml:space="preserve">revealed long hidden information. Nevertheless, it is of major importance to map</w:t>
      </w:r>
      <w:r>
        <w:t xml:space="preserve"> </w:t>
      </w:r>
      <w:r>
        <w:t xml:space="preserve">and describe the biases on the data we have available. Here we assessed</w:t>
      </w:r>
      <w:r>
        <w:t xml:space="preserve"> </w:t>
      </w:r>
      <w:r>
        <w:t xml:space="preserve">terrestrial vertebrates’ digital inventory incompleteness at the Atlantic</w:t>
      </w:r>
      <w:r>
        <w:t xml:space="preserve"> </w:t>
      </w:r>
      <w:r>
        <w:t xml:space="preserve">Rainforest and investigated if environmental variables are correlated to</w:t>
      </w:r>
      <w:r>
        <w:t xml:space="preserve"> </w:t>
      </w:r>
      <w:r>
        <w:t xml:space="preserve">biodiversity knowledge. At a resolution of 0.5 degrees and considering the final</w:t>
      </w:r>
      <w:r>
        <w:t xml:space="preserve"> </w:t>
      </w:r>
      <w:r>
        <w:t xml:space="preserve">slope of a rarefaction curve as a measure of inventory completeness, none of the</w:t>
      </w:r>
      <w:r>
        <w:t xml:space="preserve"> </w:t>
      </w:r>
      <w:r>
        <w:t xml:space="preserve">grids can be considered well sampled units. However, the completeness of each</w:t>
      </w:r>
      <w:r>
        <w:t xml:space="preserve"> </w:t>
      </w:r>
      <w:r>
        <w:t xml:space="preserve">group seems to have a non-uniform correlation to different environmental</w:t>
      </w:r>
      <w:r>
        <w:t xml:space="preserve"> </w:t>
      </w:r>
      <w:r>
        <w:t xml:space="preserve">variables. By highlighting undersampled areas in the Atlantic Rainforest, these</w:t>
      </w:r>
      <w:r>
        <w:t xml:space="preserve"> </w:t>
      </w:r>
      <w:r>
        <w:t xml:space="preserve">results provide important information for the biodiversity assessment of this</w:t>
      </w:r>
      <w:r>
        <w:t xml:space="preserve"> </w:t>
      </w:r>
      <w:r>
        <w:t xml:space="preserve">highly impacted ecoregion. Combining them with the information about the</w:t>
      </w:r>
      <w:r>
        <w:t xml:space="preserve"> </w:t>
      </w:r>
      <w:r>
        <w:t xml:space="preserve">magnitude of these impacts can help shape the agenda and priorities for</w:t>
      </w:r>
      <w:r>
        <w:t xml:space="preserve"> </w:t>
      </w:r>
      <w:r>
        <w:t xml:space="preserve">conservation, but, also, the results alone can help us rethink what we</w:t>
      </w:r>
      <w:r>
        <w:t xml:space="preserve"> </w:t>
      </w:r>
      <w:r>
        <w:t xml:space="preserve">understand about geographically structured biodiversity distribution.</w:t>
      </w:r>
    </w:p>
    <w:p>
      <w:pPr>
        <w:pStyle w:val="TextBody"/>
      </w:pPr>
      <w:r>
        <w:t xml:space="preserve">Keywords: inventory completeness, rarefaction curves, data bias, Atlantic Rainforest.</w:t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Information about life diversity and distribution is a fundamental tool for</w:t>
      </w:r>
      <w:r>
        <w:t xml:space="preserve"> </w:t>
      </w:r>
      <w:r>
        <w:t xml:space="preserve">understanding evolutionary and ecological processes</w:t>
      </w:r>
      <w:r>
        <w:t xml:space="preserve"> </w:t>
      </w:r>
      <w:r>
        <w:t xml:space="preserve">(Graham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2004; Rocchini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2011; Jetz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2012; Ladle &amp; Hortal 2013; Meyer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2015)</w:t>
      </w:r>
      <w:r>
        <w:t xml:space="preserve">. After a long history of global biodiversity information collection by</w:t>
      </w:r>
      <w:r>
        <w:t xml:space="preserve"> </w:t>
      </w:r>
      <w:r>
        <w:t xml:space="preserve">naturalists, taxonomists and, more recently, citizen scientists</w:t>
      </w:r>
      <w:r>
        <w:t xml:space="preserve"> </w:t>
      </w:r>
      <w:r>
        <w:t xml:space="preserve">(Von Humboldt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1850; Hawkins 2001; Willig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2003; Chase 2012; Callaghan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2020)</w:t>
      </w:r>
      <w:r>
        <w:t xml:space="preserve">,</w:t>
      </w:r>
      <w:r>
        <w:t xml:space="preserve"> </w:t>
      </w:r>
      <w:r>
        <w:t xml:space="preserve">researchers have been storing these data in electronic catalogues at slow pace</w:t>
      </w:r>
      <w:r>
        <w:t xml:space="preserve"> </w:t>
      </w:r>
      <w:r>
        <w:t xml:space="preserve">since the 1970’s, connecting them, more recently, through web-based initiatives</w:t>
      </w:r>
      <w:r>
        <w:t xml:space="preserve"> </w:t>
      </w:r>
      <w:r>
        <w:t xml:space="preserve">(Graham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2004)</w:t>
      </w:r>
      <w:r>
        <w:t xml:space="preserve">. As a result, we now have accessible and extensive</w:t>
      </w:r>
      <w:r>
        <w:t xml:space="preserve"> </w:t>
      </w:r>
      <w:r>
        <w:t xml:space="preserve">information about biodiversity on big online databases such as the Global</w:t>
      </w:r>
      <w:r>
        <w:t xml:space="preserve"> </w:t>
      </w:r>
      <w:r>
        <w:t xml:space="preserve">Biodiversity Information Facility (GBIF;</w:t>
      </w:r>
      <w:r>
        <w:t xml:space="preserve"> </w:t>
      </w:r>
      <w:hyperlink r:id="rId22">
        <w:r>
          <w:rPr>
            <w:rStyle w:val="Hyperlink"/>
          </w:rPr>
          <w:t xml:space="preserve">http://www.gbif.org/</w:t>
        </w:r>
      </w:hyperlink>
      <w:r>
        <w:t xml:space="preserve">) and the Map of</w:t>
      </w:r>
      <w:r>
        <w:t xml:space="preserve"> </w:t>
      </w:r>
      <w:r>
        <w:t xml:space="preserve">Life (</w:t>
      </w:r>
      <w:hyperlink r:id="rId23">
        <w:r>
          <w:rPr>
            <w:rStyle w:val="Hyperlink"/>
          </w:rPr>
          <w:t xml:space="preserve">https://mol.org/</w:t>
        </w:r>
      </w:hyperlink>
      <w:r>
        <w:t xml:space="preserve">), which compile museum, survey and observation data</w:t>
      </w:r>
      <w:r>
        <w:t xml:space="preserve"> </w:t>
      </w:r>
      <w:r>
        <w:t xml:space="preserve">(Graham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2004; Jetz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2012; Beck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2013)</w:t>
      </w:r>
      <w:r>
        <w:t xml:space="preserve">. However, despite these</w:t>
      </w:r>
      <w:r>
        <w:t xml:space="preserve"> </w:t>
      </w:r>
      <w:r>
        <w:t xml:space="preserve">recent efforts, our knowledge on species diversity and distribution is still</w:t>
      </w:r>
      <w:r>
        <w:t xml:space="preserve"> </w:t>
      </w:r>
      <w:r>
        <w:t xml:space="preserve">biased and full of gaps due to the complex nature of this information (Brown and</w:t>
      </w:r>
      <w:r>
        <w:t xml:space="preserve"> </w:t>
      </w:r>
      <w:r>
        <w:t xml:space="preserve">Lomolino 1998; Whittaker et al. 2005). These shortfalls have been recently</w:t>
      </w:r>
      <w:r>
        <w:t xml:space="preserve"> </w:t>
      </w:r>
      <w:r>
        <w:t xml:space="preserve">revised (Hortal et al. 2015) and there is growing evidence that they can</w:t>
      </w:r>
      <w:r>
        <w:t xml:space="preserve"> </w:t>
      </w:r>
      <w:r>
        <w:t xml:space="preserve">compromise ecological, evolutionary and conservation analyses (IUCN 2012; Ladle</w:t>
      </w:r>
      <w:r>
        <w:t xml:space="preserve"> </w:t>
      </w:r>
      <w:r>
        <w:t xml:space="preserve">and Hortal 2013; Ficetola et al. 2014; Hortal et al. 2015). The wallacean</w:t>
      </w:r>
      <w:r>
        <w:t xml:space="preserve"> </w:t>
      </w:r>
      <w:r>
        <w:t xml:space="preserve">shortfall (the lack of information about species’ real distribution) is present</w:t>
      </w:r>
      <w:r>
        <w:t xml:space="preserve"> </w:t>
      </w:r>
      <w:r>
        <w:t xml:space="preserve">in every spatial and temporal scales (Whittaker et al. 2005; Hortal 2008; Hortal</w:t>
      </w:r>
      <w:r>
        <w:t xml:space="preserve"> </w:t>
      </w:r>
      <w:r>
        <w:t xml:space="preserve">et al. 2015) and is a consequence of a myriad of biological, environmental and</w:t>
      </w:r>
      <w:r>
        <w:t xml:space="preserve"> </w:t>
      </w:r>
      <w:r>
        <w:t xml:space="preserve">social factors. Characteristics of the species (such as crypsis, its natural</w:t>
      </w:r>
      <w:r>
        <w:t xml:space="preserve"> </w:t>
      </w:r>
      <w:r>
        <w:t xml:space="preserve">history and behaviour), political borders and topography, for example, can lead</w:t>
      </w:r>
      <w:r>
        <w:t xml:space="preserve"> </w:t>
      </w:r>
      <w:r>
        <w:t xml:space="preserve">to biases in biodiversity surveys and form gaps in information. On the other</w:t>
      </w:r>
      <w:r>
        <w:t xml:space="preserve"> </w:t>
      </w:r>
      <w:r>
        <w:t xml:space="preserve">hand, clustered information also can lead to biased surveys, since researchers</w:t>
      </w:r>
      <w:r>
        <w:t xml:space="preserve"> </w:t>
      </w:r>
      <w:r>
        <w:t xml:space="preserve">may prefer to assess places knowingly species-rich or that are undergoing a</w:t>
      </w:r>
      <w:r>
        <w:t xml:space="preserve"> </w:t>
      </w:r>
      <w:r>
        <w:t xml:space="preserve">process of ecological change (Boakes et al. 2010; Ahrends et al. 2011; Rocchini</w:t>
      </w:r>
      <w:r>
        <w:t xml:space="preserve"> </w:t>
      </w:r>
      <w:r>
        <w:t xml:space="preserve">et al. 2011; Yang et al. 2014). Information gaps may also be a consequence of</w:t>
      </w:r>
      <w:r>
        <w:t xml:space="preserve"> </w:t>
      </w:r>
      <w:r>
        <w:t xml:space="preserve">data quality decay in space (e.g., when we extrapolate the distribution of a</w:t>
      </w:r>
      <w:r>
        <w:t xml:space="preserve"> </w:t>
      </w:r>
      <w:r>
        <w:t xml:space="preserve">species based on polygons or species distribution models) and time (due to</w:t>
      </w:r>
      <w:r>
        <w:t xml:space="preserve"> </w:t>
      </w:r>
      <w:r>
        <w:t xml:space="preserve">taxonomic reviews, climate change, land use, habitat loss, extinction and</w:t>
      </w:r>
      <w:r>
        <w:t xml:space="preserve"> </w:t>
      </w:r>
      <w:r>
        <w:t xml:space="preserve">migration) (Ladle and Hortal 2013). Therefore, the measurement of geographical</w:t>
      </w:r>
      <w:r>
        <w:t xml:space="preserve"> </w:t>
      </w:r>
      <w:r>
        <w:t xml:space="preserve">variation of biodiversity on the planet (represented by distribution maps) has</w:t>
      </w:r>
      <w:r>
        <w:t xml:space="preserve"> </w:t>
      </w:r>
      <w:r>
        <w:t xml:space="preserve">an error associated that must be assessed (Hortal 2008; Rocchini et al. 2011;</w:t>
      </w:r>
      <w:r>
        <w:t xml:space="preserve"> </w:t>
      </w:r>
      <w:r>
        <w:t xml:space="preserve">Ladle and Hortal 2013; Yang et al. 2013). The acknowledgement of error in</w:t>
      </w:r>
      <w:r>
        <w:t xml:space="preserve"> </w:t>
      </w:r>
      <w:r>
        <w:t xml:space="preserve">biodiversity information is of major importance. The underestimation of species</w:t>
      </w:r>
      <w:r>
        <w:t xml:space="preserve"> </w:t>
      </w:r>
      <w:r>
        <w:t xml:space="preserve">distribution can have consequences in conservation planning, such as the</w:t>
      </w:r>
      <w:r>
        <w:t xml:space="preserve"> </w:t>
      </w:r>
      <w:r>
        <w:t xml:space="preserve">classification of species in risk of extinction following the range restriction</w:t>
      </w:r>
      <w:r>
        <w:t xml:space="preserve"> </w:t>
      </w:r>
      <w:r>
        <w:t xml:space="preserve">criterion (IUCN 2012; Ladle and Hortal 2013; Ficetola et al. 2014; Hortal et al.</w:t>
      </w:r>
      <w:r>
        <w:t xml:space="preserve"> </w:t>
      </w:r>
      <w:r>
        <w:t xml:space="preserve">2015). Furthermore, bias can influence and even reverse ecogeographical</w:t>
      </w:r>
      <w:r>
        <w:t xml:space="preserve"> </w:t>
      </w:r>
      <w:r>
        <w:t xml:space="preserve">patterns, leading us to associate certain factors to species richness when they</w:t>
      </w:r>
      <w:r>
        <w:t xml:space="preserve"> </w:t>
      </w:r>
      <w:r>
        <w:t xml:space="preserve">are only proxies for sampling quality (Ficetola et al. 2014). Therefore, it has</w:t>
      </w:r>
      <w:r>
        <w:t xml:space="preserve"> </w:t>
      </w:r>
      <w:r>
        <w:t xml:space="preserve">been recommended to include maps of ignorance in the results or to map data</w:t>
      </w:r>
      <w:r>
        <w:t xml:space="preserve"> </w:t>
      </w:r>
      <w:r>
        <w:t xml:space="preserve">quality and use only well sampled locations on analyses (Hortal 2008; Ladle and</w:t>
      </w:r>
      <w:r>
        <w:t xml:space="preserve"> </w:t>
      </w:r>
      <w:r>
        <w:t xml:space="preserve">Hortal 2013; Ficetola et al. 2014; Yang et al. 2014). Once researchers are aware</w:t>
      </w:r>
      <w:r>
        <w:t xml:space="preserve"> </w:t>
      </w:r>
      <w:r>
        <w:t xml:space="preserve">of the error in their data sets, they can try to correct or diminish it and</w:t>
      </w:r>
      <w:r>
        <w:t xml:space="preserve"> </w:t>
      </w:r>
      <w:r>
        <w:t xml:space="preserve">better analyse the results. This practice, in addition to guide future research,</w:t>
      </w:r>
      <w:r>
        <w:t xml:space="preserve"> </w:t>
      </w:r>
      <w:r>
        <w:t xml:space="preserve">produces more reliable results, since the exact measure of uncertainty clarifies</w:t>
      </w:r>
      <w:r>
        <w:t xml:space="preserve"> </w:t>
      </w:r>
      <w:r>
        <w:t xml:space="preserve">how explicative an inference can be.</w:t>
      </w:r>
    </w:p>
    <w:p>
      <w:pPr>
        <w:pStyle w:val="TextBody"/>
      </w:pPr>
      <w:r>
        <w:t xml:space="preserve">There is a growing interest in biodiversity data biases in the literature (see</w:t>
      </w:r>
      <w:r>
        <w:t xml:space="preserve"> </w:t>
      </w:r>
      <w:r>
        <w:t xml:space="preserve">Boakes et al. 2010; Yang et al. 2013; Sousa-Baena et al. 2014). Nevertheless,</w:t>
      </w:r>
      <w:r>
        <w:t xml:space="preserve"> </w:t>
      </w:r>
      <w:r>
        <w:t xml:space="preserve">studies mapping South American under-sampled sites are relatively few. This is</w:t>
      </w:r>
      <w:r>
        <w:t xml:space="preserve"> </w:t>
      </w:r>
      <w:r>
        <w:t xml:space="preserve">worrying especially for the Atlantic Forest because this ecoregion is an</w:t>
      </w:r>
      <w:r>
        <w:t xml:space="preserve"> </w:t>
      </w:r>
      <w:r>
        <w:t xml:space="preserve">important biodiversity and socio-climatic hotspot (Scarano and Ceotto 2015).</w:t>
      </w:r>
      <w:r>
        <w:t xml:space="preserve"> </w:t>
      </w:r>
      <w:r>
        <w:t xml:space="preserve">Human activities and the growth of urban centres have reduced its original area</w:t>
      </w:r>
      <w:r>
        <w:t xml:space="preserve"> </w:t>
      </w:r>
      <w:r>
        <w:t xml:space="preserve">to only 8% (Galindo-Leal and Câmara 2003; Scarano and Ceotto 2015), resulting in</w:t>
      </w:r>
      <w:r>
        <w:t xml:space="preserve"> </w:t>
      </w:r>
      <w:r>
        <w:t xml:space="preserve">substantial loss of habitat. Despite that, it still hosts 1-8% of the world’s</w:t>
      </w:r>
      <w:r>
        <w:t xml:space="preserve"> </w:t>
      </w:r>
      <w:r>
        <w:t xml:space="preserve">total species (Silva and Casteleti 2003). The Atlantic Rainforest is also a good</w:t>
      </w:r>
      <w:r>
        <w:t xml:space="preserve"> </w:t>
      </w:r>
      <w:r>
        <w:t xml:space="preserve">model for ecological and evolutionary research because of its large latitudinal</w:t>
      </w:r>
      <w:r>
        <w:t xml:space="preserve"> </w:t>
      </w:r>
      <w:r>
        <w:t xml:space="preserve">and altitudinal range, high endemicity, variation in temperature and</w:t>
      </w:r>
      <w:r>
        <w:t xml:space="preserve"> </w:t>
      </w:r>
      <w:r>
        <w:t xml:space="preserve">precipitation, and historical connexion with other biomes (Silva and Casteleti</w:t>
      </w:r>
      <w:r>
        <w:t xml:space="preserve"> </w:t>
      </w:r>
      <w:r>
        <w:t xml:space="preserve">2003; Ribeiro et al. 2009; Batalha-Filho et al. 2013). Given that the Atlantic</w:t>
      </w:r>
      <w:r>
        <w:t xml:space="preserve"> </w:t>
      </w:r>
      <w:r>
        <w:t xml:space="preserve">Rainforest is a biodiversity hotspot, with a high rate of deforestation, it</w:t>
      </w:r>
      <w:r>
        <w:t xml:space="preserve"> </w:t>
      </w:r>
      <w:r>
        <w:t xml:space="preserve">becomes urgent to describe and map the information about species occurrence in</w:t>
      </w:r>
      <w:r>
        <w:t xml:space="preserve"> </w:t>
      </w:r>
      <w:r>
        <w:t xml:space="preserve">this ecoregion that is available online.</w:t>
      </w:r>
    </w:p>
    <w:bookmarkEnd w:id="24"/>
    <w:bookmarkStart w:id="37" w:name="references"/>
    <w:p>
      <w:pPr>
        <w:pStyle w:val="Heading1"/>
      </w:pPr>
      <w:r>
        <w:t xml:space="preserve">References</w:t>
      </w:r>
    </w:p>
    <w:bookmarkStart w:id="36" w:name="refs"/>
    <w:bookmarkStart w:id="25" w:name="ref-Beck2013OnlSol"/>
    <w:p>
      <w:pPr>
        <w:pStyle w:val="Bibliography"/>
      </w:pPr>
      <w:r>
        <w:t xml:space="preserve">Beck, J., Ballesteros-Mejia, L., Nagel, P. &amp; Kitching, I.J. (2013). Online solutions and the ’</w:t>
      </w:r>
      <w:r>
        <w:t xml:space="preserve">Wallacean</w:t>
      </w:r>
      <w:r>
        <w:t xml:space="preserve"> </w:t>
      </w:r>
      <w:r>
        <w:t xml:space="preserve">shortfall’:</w:t>
      </w:r>
      <w:r>
        <w:t xml:space="preserve"> </w:t>
      </w:r>
      <w:r>
        <w:t xml:space="preserve">What</w:t>
      </w:r>
      <w:r>
        <w:t xml:space="preserve"> </w:t>
      </w:r>
      <w:r>
        <w:t xml:space="preserve">does</w:t>
      </w:r>
      <w:r>
        <w:t xml:space="preserve"> </w:t>
      </w:r>
      <w:r>
        <w:t xml:space="preserve">GBIF</w:t>
      </w:r>
      <w:r>
        <w:t xml:space="preserve"> </w:t>
      </w:r>
      <w:r>
        <w:t xml:space="preserve">contribute to our knowledge of species’ ranges?</w:t>
      </w:r>
      <w:r>
        <w:t xml:space="preserve"> </w:t>
      </w:r>
      <w:r>
        <w:rPr>
          <w:i/>
        </w:rPr>
        <w:t xml:space="preserve">Diversity and Distributions</w:t>
      </w:r>
      <w:r>
        <w:t xml:space="preserve">, 19, 1043–1050.</w:t>
      </w:r>
    </w:p>
    <w:bookmarkEnd w:id="25"/>
    <w:bookmarkStart w:id="26" w:name="ref-Callaghan2020CitSci"/>
    <w:p>
      <w:pPr>
        <w:pStyle w:val="Bibliography"/>
      </w:pPr>
      <w:r>
        <w:t xml:space="preserve">Callaghan, C.T., Roberts, J.D., Poore, A.G.B., Alford, R.A., Cogger, H. &amp; Rowley, J.J.L. (2020). Citizen science data accurately predicts expert-derived species richness at a continental scale when sampling thresholds are met.</w:t>
      </w:r>
      <w:r>
        <w:t xml:space="preserve"> </w:t>
      </w:r>
      <w:r>
        <w:rPr>
          <w:i/>
        </w:rPr>
        <w:t xml:space="preserve">Biodiversity and Conservation</w:t>
      </w:r>
      <w:r>
        <w:t xml:space="preserve">.</w:t>
      </w:r>
    </w:p>
    <w:bookmarkEnd w:id="26"/>
    <w:bookmarkStart w:id="27" w:name="ref-Chase2012HisCon"/>
    <w:p>
      <w:pPr>
        <w:pStyle w:val="Bibliography"/>
      </w:pPr>
      <w:r>
        <w:t xml:space="preserve">Chase, J. (2012). Historical and</w:t>
      </w:r>
      <w:r>
        <w:t xml:space="preserve"> </w:t>
      </w:r>
      <w:r>
        <w:t xml:space="preserve">Contemporary Factors Govern Global Biodiversity Patterns</w:t>
      </w:r>
      <w:r>
        <w:t xml:space="preserve">.</w:t>
      </w:r>
      <w:r>
        <w:t xml:space="preserve"> </w:t>
      </w:r>
      <w:r>
        <w:rPr>
          <w:i/>
        </w:rPr>
        <w:t xml:space="preserve">PLoS Biol</w:t>
      </w:r>
      <w:r>
        <w:t xml:space="preserve">, 10, e1001294.</w:t>
      </w:r>
    </w:p>
    <w:bookmarkEnd w:id="27"/>
    <w:bookmarkStart w:id="28" w:name="ref-Graham2004NewDev"/>
    <w:p>
      <w:pPr>
        <w:pStyle w:val="Bibliography"/>
      </w:pPr>
      <w:r>
        <w:t xml:space="preserve">Graham, C.H., Ferrier, S., Huettman, F., Moritz, C. &amp; Peterson, a.T. (2004). New developments in museum-based informatics and applications in biodiversity analysis.</w:t>
      </w:r>
      <w:r>
        <w:t xml:space="preserve"> </w:t>
      </w:r>
      <w:r>
        <w:rPr>
          <w:i/>
        </w:rPr>
        <w:t xml:space="preserve">Trends in Ecology and Evolution</w:t>
      </w:r>
      <w:r>
        <w:t xml:space="preserve">, 19, 497–503.</w:t>
      </w:r>
    </w:p>
    <w:bookmarkEnd w:id="28"/>
    <w:bookmarkStart w:id="29" w:name="ref-Hawkins2001EcoSO"/>
    <w:p>
      <w:pPr>
        <w:pStyle w:val="Bibliography"/>
      </w:pPr>
      <w:r>
        <w:t xml:space="preserve">Hawkins, B.A. (2001). Ecology’s oldest pattern?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, 16, 470.</w:t>
      </w:r>
    </w:p>
    <w:bookmarkEnd w:id="29"/>
    <w:bookmarkStart w:id="30" w:name="ref-Jetz2012IntBio"/>
    <w:p>
      <w:pPr>
        <w:pStyle w:val="Bibliography"/>
      </w:pPr>
      <w:r>
        <w:t xml:space="preserve">Jetz, W., McPherson, J.M. &amp; Guralnick, R.P. (2012). Integrating biodiversity distribution knowledge:</w:t>
      </w:r>
      <w:r>
        <w:t xml:space="preserve"> </w:t>
      </w:r>
      <w:r>
        <w:t xml:space="preserve">Toward</w:t>
      </w:r>
      <w:r>
        <w:t xml:space="preserve"> </w:t>
      </w:r>
      <w:r>
        <w:t xml:space="preserve">a global map of life.</w:t>
      </w:r>
      <w:r>
        <w:t xml:space="preserve"> </w:t>
      </w:r>
      <w:r>
        <w:rPr>
          <w:i/>
        </w:rPr>
        <w:t xml:space="preserve">Trends in Ecology and Evolution</w:t>
      </w:r>
      <w:r>
        <w:t xml:space="preserve">, 27, 151–159.</w:t>
      </w:r>
    </w:p>
    <w:bookmarkEnd w:id="30"/>
    <w:bookmarkStart w:id="31" w:name="ref-Ladle2013MapSpe"/>
    <w:p>
      <w:pPr>
        <w:pStyle w:val="Bibliography"/>
      </w:pPr>
      <w:r>
        <w:t xml:space="preserve">Ladle, R. &amp; Hortal, J. (2013). Mapping species distributions: Living with uncertainty.</w:t>
      </w:r>
      <w:r>
        <w:t xml:space="preserve"> </w:t>
      </w:r>
      <w:r>
        <w:rPr>
          <w:i/>
        </w:rPr>
        <w:t xml:space="preserve">Frontiers of Biogeography</w:t>
      </w:r>
      <w:r>
        <w:t xml:space="preserve">, 5, 4–6.</w:t>
      </w:r>
    </w:p>
    <w:bookmarkEnd w:id="31"/>
    <w:bookmarkStart w:id="32" w:name="ref-Meyer2015GloPri"/>
    <w:p>
      <w:pPr>
        <w:pStyle w:val="Bibliography"/>
      </w:pPr>
      <w:r>
        <w:t xml:space="preserve">Meyer, C., Kreft, H., Guralnick, R. &amp; Jetz, W. (2015). Global priorities for an effective information basis of biodiversity distributions.</w:t>
      </w:r>
      <w:r>
        <w:t xml:space="preserve"> </w:t>
      </w:r>
      <w:r>
        <w:rPr>
          <w:i/>
        </w:rPr>
        <w:t xml:space="preserve">Nature Communications</w:t>
      </w:r>
      <w:r>
        <w:t xml:space="preserve">, 6, 8221.</w:t>
      </w:r>
    </w:p>
    <w:bookmarkEnd w:id="32"/>
    <w:bookmarkStart w:id="33" w:name="ref-Rocchini2011AccUnc"/>
    <w:p>
      <w:pPr>
        <w:pStyle w:val="Bibliography"/>
      </w:pPr>
      <w:r>
        <w:t xml:space="preserve">Rocchini, D., Hortal, J., Lengyel, S., Lobo, J.M., Jimenez-Valverde, A., Ricotta, C.,</w:t>
      </w:r>
      <w:r>
        <w:t xml:space="preserve"> </w:t>
      </w:r>
      <w:r>
        <w:rPr>
          <w:i/>
        </w:rPr>
        <w:t xml:space="preserve">et al.</w:t>
      </w:r>
      <w:r>
        <w:t xml:space="preserve"> (2011). Accounting for uncertainty when mapping species distributions:</w:t>
      </w:r>
      <w:r>
        <w:t xml:space="preserve"> </w:t>
      </w:r>
      <w:r>
        <w:t xml:space="preserve">The</w:t>
      </w:r>
      <w:r>
        <w:t xml:space="preserve"> </w:t>
      </w:r>
      <w:r>
        <w:t xml:space="preserve">need for maps of ignorance.</w:t>
      </w:r>
      <w:r>
        <w:t xml:space="preserve"> </w:t>
      </w:r>
      <w:r>
        <w:rPr>
          <w:i/>
        </w:rPr>
        <w:t xml:space="preserve">Progress in Physical Geography</w:t>
      </w:r>
      <w:r>
        <w:t xml:space="preserve">, 35, 211–226.</w:t>
      </w:r>
    </w:p>
    <w:bookmarkEnd w:id="33"/>
    <w:bookmarkStart w:id="34" w:name="ref-VonHumboldt1850VieNat"/>
    <w:p>
      <w:pPr>
        <w:pStyle w:val="Bibliography"/>
      </w:pPr>
      <w:r>
        <w:t xml:space="preserve">Von Humboldt, A., Otté, E.C. &amp; Bohn, H.G. (1850).</w:t>
      </w:r>
      <w:r>
        <w:t xml:space="preserve"> </w:t>
      </w:r>
      <w:r>
        <w:rPr>
          <w:i/>
        </w:rPr>
        <w:t xml:space="preserve">Views of</w:t>
      </w:r>
      <w:r>
        <w:rPr>
          <w:i/>
        </w:rPr>
        <w:t xml:space="preserve"> </w:t>
      </w:r>
      <w:r>
        <w:rPr>
          <w:i/>
        </w:rPr>
        <w:t xml:space="preserve">Nature</w:t>
      </w:r>
      <w:r>
        <w:rPr>
          <w:i/>
        </w:rPr>
        <w:t xml:space="preserve">:</w:t>
      </w:r>
      <w:r>
        <w:rPr>
          <w:i/>
        </w:rPr>
        <w:t xml:space="preserve"> </w:t>
      </w:r>
      <w:r>
        <w:rPr>
          <w:i/>
        </w:rPr>
        <w:t xml:space="preserve">Or Contemplations</w:t>
      </w:r>
      <w:r>
        <w:rPr>
          <w:i/>
        </w:rPr>
        <w:t xml:space="preserve"> </w:t>
      </w:r>
      <w:r>
        <w:rPr>
          <w:i/>
        </w:rPr>
        <w:t xml:space="preserve">on the</w:t>
      </w:r>
      <w:r>
        <w:rPr>
          <w:i/>
        </w:rPr>
        <w:t xml:space="preserve"> </w:t>
      </w:r>
      <w:r>
        <w:rPr>
          <w:i/>
        </w:rPr>
        <w:t xml:space="preserve">Sublime Phenomena</w:t>
      </w:r>
      <w:r>
        <w:rPr>
          <w:i/>
        </w:rPr>
        <w:t xml:space="preserve"> </w:t>
      </w:r>
      <w:r>
        <w:rPr>
          <w:i/>
        </w:rPr>
        <w:t xml:space="preserve">of</w:t>
      </w:r>
      <w:r>
        <w:rPr>
          <w:i/>
        </w:rPr>
        <w:t xml:space="preserve"> </w:t>
      </w:r>
      <w:r>
        <w:rPr>
          <w:i/>
        </w:rPr>
        <w:t xml:space="preserve">Creation</w:t>
      </w:r>
      <w:r>
        <w:t xml:space="preserve">.</w:t>
      </w:r>
      <w:r>
        <w:t xml:space="preserve"> </w:t>
      </w:r>
      <w:r>
        <w:t xml:space="preserve">Cambridge University Press</w:t>
      </w:r>
      <w:r>
        <w:t xml:space="preserve">.</w:t>
      </w:r>
    </w:p>
    <w:bookmarkEnd w:id="34"/>
    <w:bookmarkStart w:id="35" w:name="ref-Willig2003LatGra"/>
    <w:p>
      <w:pPr>
        <w:pStyle w:val="Bibliography"/>
      </w:pPr>
      <w:r>
        <w:t xml:space="preserve">Willig, M.R., Kaufman, D.M. &amp; Stevens, R.D. (2003). Latitudinal</w:t>
      </w:r>
      <w:r>
        <w:t xml:space="preserve"> </w:t>
      </w:r>
      <w:r>
        <w:t xml:space="preserve">Gradients</w:t>
      </w:r>
      <w:r>
        <w:t xml:space="preserve"> </w:t>
      </w:r>
      <w:r>
        <w:t xml:space="preserve">of</w:t>
      </w:r>
      <w:r>
        <w:t xml:space="preserve"> </w:t>
      </w:r>
      <w:r>
        <w:t xml:space="preserve">Biodiversity</w:t>
      </w:r>
      <w:r>
        <w:t xml:space="preserve">:</w:t>
      </w:r>
      <w:r>
        <w:t xml:space="preserve"> </w:t>
      </w:r>
      <w:r>
        <w:t xml:space="preserve">Pattern</w:t>
      </w:r>
      <w:r>
        <w:t xml:space="preserve">,</w:t>
      </w:r>
      <w:r>
        <w:t xml:space="preserve"> </w:t>
      </w:r>
      <w:r>
        <w:t xml:space="preserve">Process</w:t>
      </w:r>
      <w:r>
        <w:t xml:space="preserve">,</w:t>
      </w:r>
      <w:r>
        <w:t xml:space="preserve"> </w:t>
      </w:r>
      <w:r>
        <w:t xml:space="preserve">Scale</w:t>
      </w:r>
      <w:r>
        <w:t xml:space="preserve">, and</w:t>
      </w:r>
      <w:r>
        <w:t xml:space="preserve"> </w:t>
      </w:r>
      <w:r>
        <w:t xml:space="preserve">Synthesis</w:t>
      </w:r>
      <w:r>
        <w:t xml:space="preserve">.</w:t>
      </w:r>
      <w:r>
        <w:t xml:space="preserve"> </w:t>
      </w:r>
      <w:r>
        <w:rPr>
          <w:i/>
        </w:rPr>
        <w:t xml:space="preserve">Annual Review of Ecology, Evolution, and Systematics</w:t>
      </w:r>
      <w:r>
        <w:t xml:space="preserve">, 34, 273–309.</w:t>
      </w:r>
    </w:p>
    <w:bookmarkEnd w:id="35"/>
    <w:bookmarkEnd w:id="36"/>
    <w:bookmarkEnd w:id="37"/>
    <w:sectPr>
      <w:headerReference w:type="default" r:id="rId9"/>
      <w:type w:val="nextPage"/>
      <w:pgSz w:w="12240" w:h="15840"/>
      <w:pgMar w:left="1134" w:right="1134" w:header="1134" w:top="1698" w:footer="0" w:bottom="1134" w:gutter="0"/>
      <w:lnNumType w:countBy="1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f677f4"/>
    <w:pPr>
      <w:keepNext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a340b"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f677f4"/>
    <w:pPr>
      <w:keepNext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 w:themeColor="text1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rsid w:val="000a1a1a"/>
    <w:pPr>
      <w:keepLines/>
      <w:pageBreakBefore/>
      <w:spacing w:before="200" w:after="0"/>
      <w:contextualSpacing/>
      <w:mirrorIndents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 w:themeColor="background1"/>
      <w:sz w:val="16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Pr/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LegendaChar"/>
    <w:qFormat/>
    <w:rPr>
      <w:vertAlign w:val="superscript"/>
    </w:rPr>
  </w:style>
  <w:style w:type="character" w:styleId="InternetLink">
    <w:name w:val="Internet Link"/>
    <w:basedOn w:val="Legenda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340b"/>
    <w:rPr>
      <w:rFonts w:ascii="Times New Roman" w:hAnsi="Times New Roman"/>
    </w:rPr>
  </w:style>
  <w:style w:type="character" w:styleId="CabealhodamensagemChar" w:customStyle="1">
    <w:name w:val="Cabeçalho da mensagem Char"/>
    <w:basedOn w:val="DefaultParagraphFont"/>
    <w:link w:val="Cabealhodamensagem"/>
    <w:qFormat/>
    <w:rsid w:val="002a340b"/>
    <w:rPr>
      <w:rFonts w:ascii="Times New Roman" w:hAnsi="Times New Roman" w:eastAsia="" w:cs="" w:cstheme="majorBidi" w:eastAsiaTheme="majorEastAsia"/>
      <w:shd w:fill="CCCCCC" w:val="clear"/>
    </w:rPr>
  </w:style>
  <w:style w:type="character" w:styleId="TextodebaloChar" w:customStyle="1">
    <w:name w:val="Texto de balão Char"/>
    <w:basedOn w:val="DefaultParagraphFont"/>
    <w:link w:val="Textodebalo"/>
    <w:qFormat/>
    <w:rsid w:val="002a340b"/>
    <w:rPr>
      <w:rFonts w:ascii="Tahoma" w:hAnsi="Tahoma" w:cs="Tahoma"/>
      <w:sz w:val="16"/>
      <w:szCs w:val="16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CorpodetextoChar"/>
    <w:qFormat/>
    <w:rsid w:val="002a340b"/>
    <w:pPr>
      <w:spacing w:lineRule="auto" w:line="480" w:before="180" w:after="18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rsid w:val="002a340b"/>
    <w:pPr>
      <w:spacing w:lineRule="auto" w:line="48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rsid w:val="002a340b"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rsid w:val="00f677f4"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rsid w:val="00f677f4"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ind w:left="567" w:right="0" w:hanging="567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egenda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MessageHeader">
    <w:name w:val="Message Header"/>
    <w:basedOn w:val="Normal"/>
    <w:link w:val="CabealhodamensagemChar"/>
    <w:qFormat/>
    <w:rsid w:val="002a340b"/>
    <w:pPr>
      <w:shd w:val="pct20" w:color="auto" w:fill="auto"/>
      <w:spacing w:before="0" w:after="0"/>
      <w:ind w:left="1080" w:hanging="1080"/>
      <w:jc w:val="center"/>
    </w:pPr>
    <w:rPr>
      <w:rFonts w:ascii="Times New Roman" w:hAnsi="Times New Roman" w:eastAsia="" w:cs="" w:cstheme="majorBidi" w:eastAsiaTheme="majorEastAsia"/>
    </w:rPr>
  </w:style>
  <w:style w:type="paragraph" w:styleId="BalloonText">
    <w:name w:val="Balloon Text"/>
    <w:basedOn w:val="Normal"/>
    <w:link w:val="TextodebaloChar"/>
    <w:qFormat/>
    <w:rsid w:val="002a340b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://www.gbif.org/" TargetMode="External" /><Relationship Type="http://schemas.openxmlformats.org/officeDocument/2006/relationships/hyperlink" Id="rId23" Target="https://mol.org/" TargetMode="External" /><Relationship Type="http://schemas.openxmlformats.org/officeDocument/2006/relationships/hyperlink" Id="rId20" Target="mailto:graciellehigin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gbif.org/" TargetMode="External" /><Relationship Type="http://schemas.openxmlformats.org/officeDocument/2006/relationships/hyperlink" Id="rId23" Target="https://mol.org/" TargetMode="External" /><Relationship Type="http://schemas.openxmlformats.org/officeDocument/2006/relationships/hyperlink" Id="rId20" Target="mailto:graciellehigin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4</Pages>
  <Words>358</Words>
  <Characters>2077</Characters>
  <CharactersWithSpaces>2417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and understanding the digital biodiversity knowledge about vertebrates in the Atlantic Rainforest</dc:title>
  <dc:creator>Gracielle T. Higino1, 2 *, Pablo Henrique da Silva3, Marcos V. C. Vital4; 1 Department of Zoology and Biodiversity Research Centre, University of British Columbia, Vancouver, BC, Canada.; 2 Programme de formation en sciences et services de la biodiversité computationnelle, Canada.; 3 Instituto de Matemática e Estatística, Universidade Federal de Goiás, Goiânia, Brazil.; 4 Instituto de Ciências Biológicas e da Saúde, Universidade Federal de Alagoas, Maceió, AL, Brazil;  ;  ;  ; *Corresponding author; *graciellehigino@gmail.com</dc:creator>
  <cp:keywords/>
  <dcterms:created xsi:type="dcterms:W3CDTF">2021-06-16T13:44:23Z</dcterms:created>
  <dcterms:modified xsi:type="dcterms:W3CDTF">2021-06-16T13:44:23Z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sources/ecology-letters.csl</vt:lpwstr>
  </property>
  <property fmtid="{D5CDD505-2E9C-101B-9397-08002B2CF9AE}" pid="4" name="knit">
    <vt:lpwstr>(function(inputFile, encoding) { out_dir &lt;- ‘manuscript’; rmarkdown::render(inputFile, encoding = encoding, output_file = file.path(dirname(inputFile), out_dir, ‘manuscript.docx’)) })</vt:lpwstr>
  </property>
  <property fmtid="{D5CDD505-2E9C-101B-9397-08002B2CF9AE}" pid="5" name="output">
    <vt:lpwstr/>
  </property>
</Properties>
</file>