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175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P  R  O  P  O  S  T  A  J  A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Templates Personalizados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por Organização</w:t>
            </w:r>
          </w:p>
          <w:p>
            <w:pPr>
              <w:spacing w:after="800" w:line="312"/>
              <w:ind w:left="1200" w:right="8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Auditoria técnica e proposta de arquitectura incremental — sem implementação nesta fase</w:t>
            </w:r>
          </w:p>
          <w:p>
            <w:pPr>
              <w:pBdr>
                <w:left w:val="single" w:color="37DCF2" w:sz="8" w:space="12"/>
              </w:pBdr>
              <w:spacing w:after="80" w:line="312"/>
              <w:ind w:left="1400" w:right="8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Sistema: PropostaJá — SaaS multi-tenant de propostas comerciais</w:t>
            </w:r>
          </w:p>
          <w:p>
            <w:pPr>
              <w:pBdr>
                <w:left w:val="single" w:color="37DCF2" w:sz="8" w:space="12"/>
              </w:pBdr>
              <w:spacing w:after="80" w:line="312"/>
              <w:ind w:left="1400" w:right="8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Base de código: branch feature/multi-user-hierarchy · commit 1ea1fa5</w:t>
            </w:r>
          </w:p>
          <w:p>
            <w:pPr>
              <w:pBdr>
                <w:left w:val="single" w:color="37DCF2" w:sz="8" w:space="12"/>
              </w:pBdr>
              <w:spacing w:after="80" w:line="312"/>
              <w:ind w:left="1400" w:right="8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Âmbito: auditoria de código e base de dados, apenas leitura</w:t>
            </w:r>
          </w:p>
          <w:p>
            <w:pPr>
              <w:pBdr>
                <w:left w:val="single" w:color="37DCF2" w:sz="8" w:space="12"/>
              </w:pBdr>
              <w:spacing w:after="80" w:line="312"/>
              <w:ind w:left="1400" w:right="8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Data: 07 de Outubro de 2026</w:t>
            </w:r>
          </w:p>
          <w:p>
            <w:pPr>
              <w:spacing w:before="4175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Documento técnico interno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Outubro de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Resumo Executivo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A cadeia de decisão em uma página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Estado Atual — Evidências do Código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 Modelos de documento: onde nascem, onde são armazenados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 Geração de PDF: o fluxo completo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2.3 Organização/Tenant: o que já existe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2.4 Relação proposta-organização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2.5 Segurança actual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2.6 Ativos dormentes e semielaborados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2.7 Classificação do sistema actual (Fase 2)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 Arquitectura Actual do Fluxo PDF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 Arquitectura Proposta — Template Resolver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4.1 Modelo de funcionamento operacional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4.2 Duplicação de templates (operação futura)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 Alterações Necessárias — Obrigatório, Recomendado, Futuro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5.1 Obrigatório agora (o mínimo que cria a fundação)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5.2 Recomendado mas pode esperar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5.3 Futuro (explicitamente fora desta fase)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5.4 Estratégia de níveis e a fronteira configuração vs código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 Modelo de Dados Proposto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6.1 AGORA vs FUTURO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6.2 Porque não adoptar já a tabela pdf_templates nem criar template_versions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7. Segurança Multi-Tenant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7.1 Como o backend determina a organização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7.2 Policies propostas (padrão endurecido do projecto)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7.3 Análise superfície a superfície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8. Impacto no Sistema Actual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9. Análise de Riscos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10. Plano de Implementação Incremental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10.1 Garantia de não-regressão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10.2 O que NÃO deve ser alterado agora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11. Plano de Testes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11.1 Unitários do resolver (vitest, sem rede)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11.2 Isolamento multi-tenant (SQL/staging)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11.3 Regressão dos fluxos existentes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11.4 Validação manual em browser (staging)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12. Recomendação Final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12.1 Evolução futura suportada pela proposta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Microsoft YaHei"/>
          <w:i/>
          <w:iCs/>
          <w:color w:val="888888"/>
          <w:sz w:val="18"/>
          <w:szCs w:val="18"/>
        </w:rPr>
        <w:t xml:space="preserve">Nota: este índice é gerado por códigos de campo. Após editar o documento, clique com o botão direito no índice e escolha 'Actualizar campo' para actualizar os números de página.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400" w:line="312"/>
      </w:pPr>
      <w:bookmarkStart w:id="100000" w:name="_Toc100000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1. Resumo Executivo</w:t>
      </w:r>
      <w:bookmarkEnd w:id="100000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PropostaJá gera propostas comerciais em PDF inteiramente no browser, através de um motor vectorial próprio construído sobre jsPDF e alimentado por quatro modelos de documento definidos em código: Executivo Moderno, Editorial Elegante, Cotação Moderna e Cotação Minimalista. A apresentação está bem separada dos dados: os três fluxos de exportação (cotação no Resumo da Proposta, narrativa gerada por IA e proposta avançada do blueprint engine) convergem num único modelo de dados, DadosPropostaPdf, que os quatro modelos consomem de forma idêntica. A identidade visual do tenant já é herdada da organização activa — logótipo, cor primária, NUIT, endereço e formas de pagamento chegam ao PDF através do IssuerService — e a cor da marca alimenta a paleta derivada de todos os modelos. Em resumo: o branding por organização já existe; o que não existe é a noção de modelo por organização.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fundação multi-tenant está madura e endurecida. Existem organizações com papéis (owner, admin, member, viewer), Row Level Security org-scoped em todas as tabelas de negócio, storage organizado por pasta de organização, Edge Functions que verificam o JWT do utilizador, limites de plano enforced por triggers na base de dados e um painel de administração da plataforma com gestão de tenants, planos e features. Foram igualmente identificados três ativos semielaborados relevantes para este estudo: a tabela pdf_templates (modelos HTML por organização, com is_system e plan_tier), criada por migração mas sem qualquer consumidor no frontend; a coluna plan_limits.templates_pdf, que está morta; e o blueprint engine, que estrutura conteúdo de propostas mas é ortogonal aos modelos visuais.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gap é preciso: não existe qualquer associação entre organização e modelo de PDF. A escolha do modelo é hoje uma preferência individual de utilizador, guardada em localStorage (chave ps_pdf_template_default), com valores iniciais decididos por página — o Resumo da Proposta arrasta sempre 'cotacao' e as propostas avançadas usam a preferência do utilizador. O modelo aplicado a uma proposta não fica registado em lado nenhum: nem na proposta, nem na organização. Consequentemente, é impossível hoje dizer que a Organização C usa sempre determinado modelo — e muito menos atribuir-lhe um modelo exclusivo.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menor alteração recomendada é dupla e não toca no motor de PDF: (1) uma tabela pequena, organization_templates, que associa cada organização a chaves de modelos, com is_default, is_active e um config JSONB reservado para o futuro; e (2) um Template Resolver com cadeia de fallback que reproduz exactamente o comportamento actual sempre que a organização não tem modelos atribuídos. Os três pontos de entrada de exportação trocam a leitura do localStorage pelo resolver; o painel de administração ganha uma aba de gestão por tenant. Um modelo exclusivo de Nível 3 — o serviço premium que se pretende vender — corresponde a um novo ficheiro de código registado no registry existente somado a uma linha nesta tabela, associada à organização do cliente.</w:t>
      </w:r>
    </w:p>
    <w:p>
      <w:pPr>
        <w:pBdr>
          <w:left w:val="single" w:color="1B6B7A" w:sz="12" w:space="10"/>
        </w:pBdr>
        <w:shd w:fill="EDF3F5" w:val="clear"/>
        <w:spacing w:after="200" w:before="120" w:line="312"/>
        <w:ind w:left="200" w:right="12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Veredicto: sim, o PropostaJá está preparado para começar a vender templates personalizados por organização, com duas alterações pequenas, reversíveis e de baixo risco. A via HTML dormente (pdf_templates) não deve ser adoptada nesta fase: não tem dependências instaladas, gera PDF raster em vez de vectorial e amplia a superfície de segurança.</w:t>
      </w:r>
    </w:p>
    <w:p>
      <w:pPr>
        <w:pStyle w:val="Heading2"/>
        <w:spacing w:after="120" w:before="280" w:line="312"/>
      </w:pPr>
      <w:bookmarkStart w:id="100001" w:name="_Toc100001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A cadeia de decisão em uma página</w:t>
      </w:r>
      <w:bookmarkEnd w:id="100001"/>
    </w:p>
    <w:p>
      <w:pPr>
        <w:spacing w:after="0" w:line="120"/>
      </w:pP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O QUE EXISTE   4 modelos PDF em código + motor vectorial próprio + branding da org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(logo/cor/pagamentos) já injectado nos 4 modelos + multi-tenancy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com RLS endurecida + painel admin de tenants/planos/features.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O QUE FALTA    Ligação organização -&gt; modelo: escolha persistida por ORG,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fallback garantido e administração simples. (Hoje: localStorage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por UTILIZADOR e nada registado na proposta ou na organização.)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O QUE ALTERAR  1 migration (organization_templates + RLS) + 1 resolver com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fallback + wiring em 3 pontos de exportação + 1 aba no admin.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O QUE NAO TOCAR Motor de PDF (motor.ts), os 4 templates existentes, o modelo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DadosPropostaPdf, propostas existentes, blueprint engine,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fluxos de IA e email.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MENOR PASSO    Etapas 1+2 (migration + resolver) tornam possível "a Org C usa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sempre o modelo X" sem qualquer regressão visível.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COMO EVOLUIR    Nivel 2 config JSONB (cores/fontes/seccoes) -&gt; Nivel 3 template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exclusivo em codigo -&gt; versionamento -&gt; builder -&gt; AI-assisted.</w:t>
      </w:r>
    </w:p>
    <w:p>
      <w:pPr>
        <w:spacing w:after="160" w:line="120"/>
      </w:pPr>
    </w:p>
    <w:p>
      <w:pPr>
        <w:pStyle w:val="Heading1"/>
        <w:spacing w:after="160" w:before="400" w:line="312"/>
      </w:pPr>
      <w:bookmarkStart w:id="100002" w:name="_Toc100002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2. Estado Atual — Evidências do Código</w:t>
      </w:r>
      <w:bookmarkEnd w:id="100002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Esta secção reporta apenas factos verificados no código, no branch feature/multi-user-hierarchy, commit 1ea1fa5. Cada descoberta indica o ficheiro, o componente ou função e a responsabilidade observada. Nada foi assumido a partir de documentação; onde há incerteza sobre o estado da base de dados real (por oposição às migrações no repositório), está assinalado como NÃO CONFIRMADO.</w:t>
      </w:r>
    </w:p>
    <w:p>
      <w:pPr>
        <w:pStyle w:val="Heading2"/>
        <w:spacing w:after="120" w:before="280" w:line="312"/>
      </w:pPr>
      <w:bookmarkStart w:id="100003" w:name="_Toc100003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2.1 Modelos de documento: onde nascem, onde são armazenados</w:t>
      </w:r>
      <w:bookmarkEnd w:id="100003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Os quatro modelos nascem e vivem exclusivamente em código TypeScript, dentro de src/lib/pdf/. Cada modelo é uma função de desenho pura que recebe o mesmo objecto de dados e devolve um documento jsPDF montado sobre as primitivas do MotorPdf. Não existe qualquer tabela da base de dados em uso que guarde modelos de PDF: a auditoria a src/ confirma que a única referência à tabela pdf_templates está nos tipos gerados (src/integrations/supabase/types.ts, linhas 841-893), sem um único consumidor funcional.</w:t>
      </w: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1 — Inventário dos ficheiros do subsistema de modelos PDF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Ficheiro / símbolo</w:t>
            </w:r>
          </w:p>
        </w:tc>
        <w:tc>
          <w:tcPr>
            <w:tcW w:type="pct" w:w="5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src/lib/pdf/templates.ts — TEMPLATES_PDF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Registry em código dos 4 modelos: id, nome, descricao, caracteristicas (usado por selectores e pela galeria)</w:t>
            </w:r>
          </w:p>
        </w:tc>
      </w:tr>
      <w:tr>
        <w:trPr>
          <w:cantSplit/>
        </w:trPr>
        <w:tc>
          <w:tcPr>
            <w:tcW w:type="pct" w:w="4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src/lib/pdf/templates.ts — obterTemplateDefault()/definirTemplateDefault()</w:t>
            </w:r>
          </w:p>
        </w:tc>
        <w:tc>
          <w:tcPr>
            <w:tcW w:type="pct" w:w="5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Preferência por omissão persistida em localStorage POR UTILIZADOR (chave ps_pdf_template_default); fallback hardcoded 'executivo'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src/lib/pdf/tipos.ts — PdfTemplateId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União literal: 'executivo' | 'editorial' | 'cotacao' | 'minimal'</w:t>
            </w:r>
          </w:p>
        </w:tc>
      </w:tr>
      <w:tr>
        <w:trPr>
          <w:cantSplit/>
        </w:trPr>
        <w:tc>
          <w:tcPr>
            <w:tcW w:type="pct" w:w="4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src/lib/pdf/tipos.ts — DadosPropostaPdf</w:t>
            </w:r>
          </w:p>
        </w:tc>
        <w:tc>
          <w:tcPr>
            <w:tcW w:type="pct" w:w="5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Modelo de dados único do documento (cliente, empresa, itens, totais, secções, pagamento) — apresentação zero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src/lib/pdf/templateExecutivo.ts — desenharExecutivo()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Modelo Executivo Moderno; paleta derivada de empresa.corPrimaria via construirPaleta()</w:t>
            </w:r>
          </w:p>
        </w:tc>
      </w:tr>
      <w:tr>
        <w:trPr>
          <w:cantSplit/>
        </w:trPr>
        <w:tc>
          <w:tcPr>
            <w:tcW w:type="pct" w:w="4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src/lib/pdf/templateEditorial.ts — desenharEditorial()</w:t>
            </w:r>
          </w:p>
        </w:tc>
        <w:tc>
          <w:tcPr>
            <w:tcW w:type="pct" w:w="5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Modelo Editorial Elegante (serif, moldura dupla)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src/lib/pdf/templateCotacao.ts — desenharCotacao()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Modelo Cotação Moderna (bandas full-bleed)</w:t>
            </w:r>
          </w:p>
        </w:tc>
      </w:tr>
      <w:tr>
        <w:trPr>
          <w:cantSplit/>
        </w:trPr>
        <w:tc>
          <w:tcPr>
            <w:tcW w:type="pct" w:w="4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src/lib/pdf/templateMinimal.ts — desenharMinimal()</w:t>
            </w:r>
          </w:p>
        </w:tc>
        <w:tc>
          <w:tcPr>
            <w:tcW w:type="pct" w:w="5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Modelo Cotação Minimalista (tipografia pura)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src/lib/pdf/motor.ts — MotorPdf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Primitivas partilhadas: parágrafo, quebra de texto, tabelas, paginação (garantirEspaco), medição de logótipo</w:t>
            </w:r>
          </w:p>
        </w:tc>
      </w:tr>
      <w:tr>
        <w:trPr>
          <w:cantSplit/>
        </w:trPr>
        <w:tc>
          <w:tcPr>
            <w:tcW w:type="pct" w:w="4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src/lib/pdf/gerar.ts — gerarPropostaPdf(dados, templateId)</w:t>
            </w:r>
          </w:p>
        </w:tc>
        <w:tc>
          <w:tcPr>
            <w:tcW w:type="pct" w:w="5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Único ponto de dispatch modelo-&gt;desenhador; expõe baixar/previsualizar/base64</w:t>
            </w:r>
          </w:p>
        </w:tc>
      </w:tr>
      <w:tr>
        <w:trPr>
          <w:cantSplit/>
        </w:trPr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src/pages/TemplateManager.tsx (/admin/templates)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Galeria visual dos 4 modelos; define a preferência por omissão do UTILIZADOR</w:t>
            </w:r>
          </w:p>
        </w:tc>
      </w:tr>
    </w:tbl>
    <w:p>
      <w:pPr>
        <w:spacing w:after="160" w:line="312"/>
      </w:pPr>
    </w:p>
    <w:p>
      <w:pPr>
        <w:pStyle w:val="Heading2"/>
        <w:spacing w:after="120" w:before="280" w:line="312"/>
      </w:pPr>
      <w:bookmarkStart w:id="100004" w:name="_Toc100004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2.2 Geração de PDF: o fluxo completo</w:t>
      </w:r>
      <w:bookmarkEnd w:id="100004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pipeline é integralmente client-side e determinístico. As três origens convergem primeiro em DadosPropostaPdf: (1) a cotação (ResumoProposta) via construirDadosPdf(); (2) a narrativa IA (GerarPropostaIA, Doc A) via construirDadosNarrativaPdf(); (3) a proposta avançada (RevisaoProposta) via buildProposalDocument() do blueprint engine seguido de converterDocumentoAvancado(). A partir daí, gerarPropostaPdf(dados, templateId) faz o dispatch para um dos quatro desenhadores, cada um devolvendo o jsPDF final. O resultado sai por três portas: download directo, pré-visualização em nova janela (blob URL) e envio por email — neste último caso o browser gera o PDF em base64 e envia-o à Edge Function send-proposal-email, que o anexa via Resend. A Edge Function nunca gera PDF; apenas entrega o bytes que recebeu.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resolução do logótipo merece nota porque condiciona qualquer trabalho futuro sobre branding: o IssuerService devolve o logótipo como signed URL do bucket logos, e a função resolverLogotipoParaPdf() converte-a em data URL (com rasterização de webp/gif e degradação graciosa) antes da geração — é o único formato que o jsPDF embute. Este passo está aplicado nos quatro pontos de entrada de geração, incluindo o serviço de email.</w:t>
      </w: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2 — Pontos de entrada de geração/exportação e selecção de modelo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Ponto de entrada</w:t>
            </w:r>
          </w:p>
        </w:tc>
        <w:tc>
          <w:tcPr>
            <w:tcW w:type="pct" w:w="5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Como escolhe o modelo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ResumoProposta.tsx (cotação)</w:t>
            </w:r>
          </w:p>
        </w:tc>
        <w:tc>
          <w:tcPr>
            <w:tcW w:type="pct" w:w="5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Estado local; arranca SEMPRE em 'cotacao' (linha 24); selector com as 4 opções; escolha não persistida</w:t>
            </w:r>
          </w:p>
        </w:tc>
      </w:tr>
      <w:tr>
        <w:trPr>
          <w:cantSplit/>
        </w:trPr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GerarPropostaIA.tsx (Doc A)</w:t>
            </w:r>
          </w:p>
        </w:tc>
        <w:tc>
          <w:tcPr>
            <w:tcW w:type="pct" w:w="5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Selector inicializado com obterTemplateDefault(); cada escolha é gravada como omissão global do utilizador (definirTemplateDefault)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RevisaoProposta.tsx (avançado)</w:t>
            </w:r>
          </w:p>
        </w:tc>
        <w:tc>
          <w:tcPr>
            <w:tcW w:type="pct" w:w="5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Sem selector; usa obterTemplateDefault() directamente nos dois call sites (linhas 284 e 309)</w:t>
            </w:r>
          </w:p>
        </w:tc>
      </w:tr>
      <w:tr>
        <w:trPr>
          <w:cantSplit/>
        </w:trPr>
        <w:tc>
          <w:tcPr>
            <w:tcW w:type="pct" w:w="4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propostaEmailService.enviar()</w:t>
            </w:r>
          </w:p>
        </w:tc>
        <w:tc>
          <w:tcPr>
            <w:tcW w:type="pct" w:w="5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Recebe o templateId do chamador (fluxo do Resumo)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TemplateManager.tsx (galeria admin)</w:t>
            </w:r>
          </w:p>
        </w:tc>
        <w:tc>
          <w:tcPr>
            <w:tcW w:type="pct" w:w="5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define a omissão do utilizador autenticado; não toca em organizações</w:t>
            </w:r>
          </w:p>
        </w:tc>
      </w:tr>
    </w:tbl>
    <w:p>
      <w:pPr>
        <w:spacing w:after="160" w:line="312"/>
      </w:pPr>
    </w:p>
    <w:p>
      <w:pPr>
        <w:pStyle w:val="Heading2"/>
        <w:spacing w:after="120" w:before="280" w:line="312"/>
      </w:pPr>
      <w:bookmarkStart w:id="100005" w:name="_Toc100005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2.3 Organização/Tenant: o que já existe</w:t>
      </w:r>
      <w:bookmarkEnd w:id="100005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hierarquia multi-utilizador está implementada e endurecida. A tabela organizations acumula hoje dados de marca e fiscais (nome, slug, plano, cor_primaria, logo_url, nuit, endereco, dados_bancarios, mobile_money, pagamentos_extras) além de campos administrativos (suspended_at, contadores mensais). A tabela organization_members liga utilizadores a organizações com papéis (owner/admin/member/viewer) e convites com token. No cliente, o hook useOrganization carrega as memberships, mantém a organização activa em localStorage por utilizador e limpa a cache do React Query na troca. O OrganizationService fornece getOrgIdForInsert() (localStorage, depois profiles.organization_id, depois a primeira membership) e o upload de logótipo para logos/{orgId}/. O IssuerService.getIssuer() funde o perfil pessoal (nome, cargo, contacto) com os dados da organização (empresa, NUIT, endereço, logo, cor, pagamentos), com fallback campo-a-campo ao perfil legado — é esta fusão que alimenta o PDF.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relação USER -&gt; MEMBERSHIP -&gt; ORGANIZATION -&gt; PROPOSAL existe e é a via dominante, mas mantém uma rede de segurança legada USER -&gt; PROPOSAL: as policies de proposals aceitam user_belongs_to_org(organization_id) OU owner_id = auth.uid(). Ou seja, o ownership é consistente para dados novos e preserva os registos criados antes da hierarquia.</w:t>
      </w:r>
    </w:p>
    <w:p>
      <w:pPr>
        <w:pStyle w:val="Heading2"/>
        <w:spacing w:after="120" w:before="280" w:line="312"/>
      </w:pPr>
      <w:bookmarkStart w:id="100006" w:name="_Toc100006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2.4 Relação proposta-organização</w:t>
      </w:r>
      <w:bookmarkEnd w:id="100006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tabela proposals tem organization_id (anulável), owner_id (obrigatório), client_id com cliente_snapshot, status e — relevante como precedente — blueprint_id anulável, adicionado pelo blueprint engine com ON DELETE SET NULL. Não existe qualquer coluna de modelo/template: o modelo aplicado é decidido no momento da exportação, no browser, e não é registado. Isto significa que reexportar uma proposta antiga depois de uma mudança de preferência produz um PDF diferente — comportamento actual que qualquer solução deve preservar ou melhorar deliberadamente, nunca quebrar.</w:t>
      </w:r>
    </w:p>
    <w:p>
      <w:pPr>
        <w:pStyle w:val="Heading2"/>
        <w:spacing w:after="120" w:before="280" w:line="312"/>
      </w:pPr>
      <w:bookmarkStart w:id="100007" w:name="_Toc100007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2.5 Segurança actual</w:t>
      </w:r>
      <w:bookmarkEnd w:id="100007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isolamento entre tenants assenta em três camadas. Primeiro, RLS org-scoped: as migrações 20260707010000 e seguintes reescreveram todas as policies de dados de negócio com as funções user_belongs_to_org(org_id) e user_role_in_org(org_id), que validam a pertença à organização ESPECÍFICA da linha (multi-org safe); a administração da plataforma usa user_roles/has_role e platform_admins. Segundo, Edge Functions com verificação obrigatória de JWT (_shared/auth.ts, verifyAuth), que devolve um cliente Supabase autenticado com o token do utilizador — respeitando RLS — além de um cliente service-role para operações de administração verificadas. Terceiro, storage org-aware: o bucket logos organiza os ficheiros por pasta {org_id}/ e as policies usam user_belongs_to_org sobre o primeiro segmento do path, com leitura para membros e escrita para admin+ da org. A geração de PDF é client-side, portanto só opera sobre dados que o próprio tenant já consegue ler via RLS — sem superfície nova.</w:t>
      </w:r>
    </w:p>
    <w:p>
      <w:pPr>
        <w:pStyle w:val="Heading2"/>
        <w:spacing w:after="120" w:before="280" w:line="312"/>
      </w:pPr>
      <w:bookmarkStart w:id="100008" w:name="_Toc100008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2.6 Ativos dormentes e semielaborados</w:t>
      </w:r>
      <w:bookmarkEnd w:id="100008"/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3 — Ativos existentes relevantes para templates por organização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Ativo</w:t>
            </w:r>
          </w:p>
        </w:tc>
        <w:tc>
          <w:tcPr>
            <w:tcW w:type="pct" w:w="6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Estado verificado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pdf_templates (migração 20260814150000)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Tabela completa: organization_id anulável, nome, html TEXT, plan_tier, is_active, is_system, sort_order, created_by; RLS com 4 policies; seed de 1 modelo de sistema ('Clássico'). ZERO consumidores em src/ — nem serviço, nem UI. Depoisências necessárias (DOMPurify, html2canvas) NÃO estão no package.json. Fraco: policy de UPDATE exige apenas membership (insert/delete exigem admin), e o rendering seria raster.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plan_limits.templates_pdf (string[])</w:t>
            </w:r>
          </w:p>
        </w:tc>
        <w:tc>
          <w:tcPr>
            <w:tcW w:type="pct" w:w="6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Coluna presente nos tipos gerados; sem qualquer leitura em src/. Intenção evidente de gating de modelos por plano, nunca activada.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company_brand_profiles (blueprint engine)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Perfil visual POR ORGANIZAÇÃO: primary/secondary/accent, font_preference, visual_style, UNIQUE(organization_id). Consumido APENAS no fluxo avançado (BrandProfilePage -&gt; converterDocumentoAvancado usa brand.primaryColor como corPrimaria). Sobreposição parcial com organizations.cor_primaria — duas fontes de verdade de cor.</w:t>
            </w:r>
          </w:p>
        </w:tc>
      </w:tr>
      <w:tr>
        <w:trPr>
          <w:cantSplit/>
        </w:trPr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Blueprint engine (20260807000000)</w:t>
            </w:r>
          </w:p>
        </w:tc>
        <w:tc>
          <w:tcPr>
            <w:tcW w:type="pct" w:w="6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business_categories, proposal_blueprints, proposal_sections, section_questions globais (admin-geridas) + advanced_proposals com organization_id NOT NULL e blueprint_version. É estrutura de CONTEÚDO, não visual — conceito ortogonal mas precedente útil (propostas ligadas a estruturas versionadas).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TemplateManager (/admin/templates)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Galeria dos 4 modelos com miniaturas; acedível por botão no painel Admin (commit 64bcf30). Opera sobre a preferência do utilizador, não da organização.</w:t>
            </w:r>
          </w:p>
        </w:tc>
      </w:tr>
    </w:tbl>
    <w:p>
      <w:pPr>
        <w:spacing w:after="160" w:line="312"/>
      </w:pPr>
    </w:p>
    <w:p>
      <w:pPr>
        <w:pBdr>
          <w:left w:val="single" w:color="1B6B7A" w:sz="12" w:space="10"/>
        </w:pBdr>
        <w:shd w:fill="EDF3F5" w:val="clear"/>
        <w:spacing w:after="200" w:before="120" w:line="312"/>
        <w:ind w:left="200" w:right="12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NÃO CONFIRMADO: se as migrações 20260807000000 (blueprint engine) e 20260814150000 (pdf_templates) foram efectivamente aplicadas ao projecto Supabase de produção. Os tipos gerados contêm-nas, mas o staging_full_setup.sql não as inclui (listadas como KNOWN GAPS no cabeçalho). Verificação: no SQL Editor do projecto, consultar pg_tables/pg_policies ou tentar SELECT 1 FROM pdf_templates LIMIT 1 com uma sessão autenticada.</w:t>
      </w:r>
    </w:p>
    <w:p>
      <w:pPr>
        <w:pStyle w:val="Heading2"/>
        <w:spacing w:after="120" w:before="280" w:line="312"/>
      </w:pPr>
      <w:bookmarkStart w:id="100009" w:name="_Toc100009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2.7 Classificação do sistema actual (Fase 2)</w:t>
      </w:r>
      <w:bookmarkEnd w:id="100009"/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4 — Classificação: modelos actuais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Afirmação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Veredicto</w:t>
            </w:r>
          </w:p>
        </w:tc>
        <w:tc>
          <w:tcPr>
            <w:tcW w:type="pct" w:w="5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São configuráveis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cor/logo/pagamentos/dados fiscais vêm da org e entram no PDF; layout e tipografia não são configuráveis</w:t>
            </w:r>
          </w:p>
        </w:tc>
      </w:tr>
      <w:tr>
        <w:trPr>
          <w:cantSplit/>
        </w:trPr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Estão no banco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4 ficheiros TS; a única tabela de modelos (pdf_templates) não tem consumidores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Estão hardcoded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templateExecutivo/Editorial/Cotacao/Minimal.ts; registry TEMPLATES_PDF fixo</w:t>
            </w:r>
          </w:p>
        </w:tc>
      </w:tr>
      <w:tr>
        <w:trPr>
          <w:cantSplit/>
        </w:trPr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Dependem do utilizador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escolha por omissão em localStorage POR UTILIZADOR; Resumo arranca fixo em 'cotacao'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Dependem da organização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nenhuma ligação org-&gt;modelo; o branding da org sim, o modelo não</w:t>
            </w:r>
          </w:p>
        </w:tc>
      </w:tr>
    </w:tbl>
    <w:p>
      <w:pPr>
        <w:spacing w:after="160" w:line="312"/>
      </w:pP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5 — Classificação: motor de PDF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Afirmação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Veredicto</w:t>
            </w:r>
          </w:p>
        </w:tc>
        <w:tc>
          <w:tcPr>
            <w:tcW w:type="pct" w:w="5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Separação dados/apresentação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DadosPropostaPdf é dados puro; os desenhadores apenas consomem</w:t>
            </w:r>
          </w:p>
        </w:tc>
      </w:tr>
      <w:tr>
        <w:trPr>
          <w:cantSplit/>
        </w:trPr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Renderer reutilizável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primitivas partilhadas em MotorPdf (parágrafo, tabelas, paginação) usadas pelos 4 modelos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Renderer específico por modelo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 (por design)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cada modelo é uma função independente; adicionar um 5º é um ramo novo em gerar.ts</w:t>
            </w:r>
          </w:p>
        </w:tc>
      </w:tr>
    </w:tbl>
    <w:p>
      <w:pPr>
        <w:spacing w:after="160" w:line="312"/>
      </w:pP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6 — Classificação: multi-tenancy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Afirmação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Veredicto</w:t>
            </w:r>
          </w:p>
        </w:tc>
        <w:tc>
          <w:tcPr>
            <w:tcW w:type="pct" w:w="5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organization_id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propososals.organization_id anulável + owner_id; advanced_proposals NOT NULL</w:t>
            </w:r>
          </w:p>
        </w:tc>
      </w:tr>
      <w:tr>
        <w:trPr>
          <w:cantSplit/>
        </w:trPr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membership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organization_members com papéis e convites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RLS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user_belongs_to_org por linha em todas as tabelas de negócio; storage org-aware; Edge com JWT</w:t>
            </w:r>
          </w:p>
        </w:tc>
      </w:tr>
      <w:tr>
        <w:trPr>
          <w:cantSplit/>
        </w:trPr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Ownership consistente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 c/ fallback</w:t>
            </w:r>
          </w:p>
        </w:tc>
        <w:tc>
          <w:tcPr>
            <w:tcW w:type="pct" w:w="5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via org para dados novos; policies mantêm owner_id legado (pré-hierarquia)</w:t>
            </w:r>
          </w:p>
        </w:tc>
      </w:tr>
    </w:tbl>
    <w:p>
      <w:pPr>
        <w:spacing w:after="160" w:line="312"/>
      </w:pPr>
    </w:p>
    <w:p>
      <w:pPr>
        <w:pStyle w:val="Heading1"/>
        <w:spacing w:after="160" w:before="400" w:line="312"/>
      </w:pPr>
      <w:bookmarkStart w:id="100010" w:name="_Toc100010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3. Arquitectura Actual do Fluxo PDF</w:t>
      </w:r>
      <w:bookmarkEnd w:id="100010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diagrama seguinte preenche o mapa pedido com os componentes reais encontrados no código, do clique até ao ficheiro PDF. Cada caixa corresponde a um ficheiro ou função identificada na Secção 2.</w:t>
      </w:r>
    </w:p>
    <w:p>
      <w:pPr>
        <w:spacing w:after="0" w:line="120"/>
      </w:pP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[ResumoProposta]      [GerarPropostaIA]        [RevisaoProposta (avançado)]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cotação, Doc B        narrativa IA, Doc A       blueprint + secções + IA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|                     |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v                     v                            v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construirDadosPdf   construirDadosNarrativaPdf   buildProposalDocument()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|                     |                     converterDocumentoAvancado()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+---------------------+-----------------------------+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v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DadosPropostaPdf  (dados puros)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(empresa: nome, NUIT, endereço, logotipo, corPrimaria, pagamentos)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|  &lt;- modelo escolhido AQUI: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|     localStorage do UTILIZADOR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|     (ps_pdf_template_default)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v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gerarPropostaPdf(dados, templateId)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+---------------------+----------------------+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v                     v                      v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desenharExecutivo    desenharEditorial       desenharCotacao / desenharMinimal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|                     |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+---------- MotorPdf (jsPDF vectorial) -------+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+---------------------+---------------------+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v                     v                      v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download .pdf      pré-visualização         base64 -&gt; Edge Function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(browser)         (blob URL, nova janela)   send-proposal-email (Resend)</w:t>
      </w:r>
    </w:p>
    <w:p>
      <w:pPr>
        <w:spacing w:after="160" w:line="120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ponto exacto onde o modelo influencia o PDF é a chamada a gerarPropostaPdf(dados, templateId): tudo o que está a montante é dados; tudo a jusante é apresentação. A selecção do templateId acontece em três sítios distintos com três políticas diferentes (estado local fixo, preferência persistida do utilizador e leitura directa da preferência), o que torna o comportamento hoje inconsistente entre fluxos — o Resumo ignora a preferência guardada, as propostas avançadas nunca a deixam trocar.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Quanto à configuração sem alterar código: o sistema já aceita, sem tocar em código, tudo o que entra pelo objecto de dados — logótipo, cor primária (que gera paleta derivada com contraste automático), dados fiscais, formas de pagamento (incluindo as dinâmicas da org) e todo o conteúdo. Não aceita, sem alterar código, qualquer mudança de layout, tipografia, ordem ou visibilidade de secções, cabeçalho ou rodapé — essas vivem dentro dos ficheiros dos modelos. Esta fronteira entre o que é configuração e o que é código é exactamente a linha onde a proposta das próximas secções trabalha.</w:t>
      </w:r>
    </w:p>
    <w:p>
      <w:pPr>
        <w:pStyle w:val="Heading1"/>
        <w:spacing w:after="160" w:before="400" w:line="312"/>
      </w:pPr>
      <w:bookmarkStart w:id="100011" w:name="_Toc100011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4. Arquitectura Proposta — Template Resolver</w:t>
      </w:r>
      <w:bookmarkEnd w:id="100011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proposta mantém intacto todo o pipeline actual e introduz um único ponto de decisão entre a organização e a escolha do modelo. O resolver é uma função assíncrona do lado do cliente (a geração de PDF já é client-side) que consulta a tabela organization_templates filtrada por RLS e decide o templateId efectivo. Quando a organização não tem linhas — o caso de todas as organizações hoje — o resultado é literalmente o que o sistema faz agora.</w:t>
      </w:r>
    </w:p>
    <w:p>
      <w:pPr>
        <w:spacing w:after="0" w:line="120"/>
      </w:pP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[Organização activa (useOrganization / getOrgIdForInsert)]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v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RESOLVER DE TEMPLATE  (novo, cliente)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SELECT template_key FROM organization_templates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WHERE organization_id = org AND is_default AND is_active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(RLS: user_belongs_to_org filtra linhas alheias)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existe linha válida?    |    chave registada no código?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SIM --------------+------------ NAO -&gt; fallback 'executivo'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|                                     ^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v       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template_key da ORG                    NAO (org sem templates,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|                            linha inactiva, erro de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|                            rede, chave orfa)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|       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+------------------&gt; templateId efectivo &lt;---- fallback actual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     (localStorage do user /        (Resumo: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      'executivo' por omissao)       'cotacao')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            v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gerarPropostaPdf(dados, templateId)  [MOTOR INTACTO]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(os 4 modelos + futuros modelos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 exclusivos registados em codigo)</w:t>
      </w:r>
    </w:p>
    <w:p>
      <w:pPr>
        <w:spacing w:after="160" w:line="120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Contrato funcional do resolver: (1) recebe o orgId e o fallback que o chamador usaria hoje; (2) lê organization_templates com is_default = true e is_active = true (parcial index proposto); (3) valida a chave devolvida contra o registry TEMPLATES_PDF em código — chave desconhecida (modelo removido em deploy posterior) degrada para o fallback, nunca para erro; (4) qualquer falha de rede ou erro devolve o fallback; (5) a função nunca lança excepções e nunca exige mais do que uma query leve. A precedência resultante é explícita e documentável: proposta (selector do utilizador, quando existe) &gt; organização (is_default activo) &gt; preferência individual do utilizador (localStorage) &gt; hardcoded 'executivo'.</w:t>
      </w:r>
    </w:p>
    <w:p>
      <w:pPr>
        <w:pStyle w:val="Heading2"/>
        <w:spacing w:after="120" w:before="280" w:line="312"/>
      </w:pPr>
      <w:bookmarkStart w:id="100012" w:name="_Toc100012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4.1 Modelo de funcionamento operacional</w:t>
      </w:r>
      <w:bookmarkEnd w:id="100012"/>
    </w:p>
    <w:p>
      <w:pPr>
        <w:spacing w:after="0" w:line="120"/>
      </w:pP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ADMIN DO PROPOSTAJA                         ORGANIZACAO CLIENTE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-------------------                         --------------------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Painel Admin -&gt; Tenant                        Criar/abrir proposta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-&gt; aba Templates                 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Selecciona modelo base (registry)                  v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Define is_default / activa ou desactiva      Gerar PDF (3 fluxos)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-&gt; gravar linha em organization_templates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(Nivel 3: novo ficheiro de codigo                Resolver aplica o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+ linha na tabela) ------------------------&gt;  modelo da ORG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(Futuro: duplicar + editar config)                 |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                v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         PDF com o modelo da org</w:t>
      </w:r>
    </w:p>
    <w:p>
      <w:pPr>
        <w:spacing w:after="160" w:line="120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intenção desta fase é que o PropostaJá preste o serviço de criação de templates personalizados — o cliente não precisa de os criar. O operador da plataforma define qual o modelo de base e, mais tarde, um modelo exclusivo de código passa a estar disponível apenas para a organização do cliente. Do lado do cliente, nada muda na interface além do valor inicial do selector.</w:t>
      </w:r>
    </w:p>
    <w:p>
      <w:pPr>
        <w:pStyle w:val="Heading2"/>
        <w:spacing w:after="120" w:before="280" w:line="312"/>
      </w:pPr>
      <w:bookmarkStart w:id="100013" w:name="_Toc100013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4.2 Duplicação de templates (operação futura)</w:t>
      </w:r>
      <w:bookmarkEnd w:id="100013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pedido típico será atender rapidamente um cliente novo a partir de um modelo existente. Na fase 1, duplicar é uma linha nova em organization_templates apontando à mesma chave, com nome próprio — serve para dar um nome de marca ao default da org. Ganha utilidade real quando o config JSONB (Nível 2) existir: duplicar o modelo Moderno para a Empresa X passa a significar copiar a linha com config próprio (cores secundárias, fonte, mostrar/ocultar secções). Só no Nível 3 a duplicação envolve código (copiar templateCotacao.ts como base de um novo ficheiro) — e mesmo aí é um procedimento operacional simples, bem tipado, coberto pelos mesmos testes de paridade que já existem. O botão Duplicar na futura aba de administração é, portanto, uma evolução natural e não um requisito da primeira fase.</w:t>
      </w:r>
    </w:p>
    <w:p>
      <w:pPr>
        <w:pStyle w:val="Heading1"/>
        <w:spacing w:after="160" w:before="400" w:line="312"/>
      </w:pPr>
      <w:bookmarkStart w:id="100014" w:name="_Toc100014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5. Alterações Necessárias — Obrigatório, Recomendado, Futuro</w:t>
      </w:r>
      <w:bookmarkEnd w:id="100014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Antes de classificar, avalia-se cada candidata a alteração em isolado — as nove candidatas levantadas no enunciado — quanto à necessidade, problema resolvido, risco e impacto. A conclusão práctica é que a maioria NÃO é necessária agora.</w:t>
      </w: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7 — Avaliação item a item das alterações candidatas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1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Agora?</w:t>
            </w:r>
          </w:p>
        </w:tc>
        <w:tc>
          <w:tcPr>
            <w:tcW w:type="pct" w:w="3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Problema que resolve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Risco se feita agora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Impacto no código actual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templates (tabela org)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liga organização a modelo; base de tudo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baixo: tabela nova isolada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 ficheiro existente obrigado a mudar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resolver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aplica o modelo da org com fallback ao comportamento actual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baixo: função nova; falha degrada para o fallback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wiring em 3 páginas (pontos de exportação)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desactivar sem apagar; fallback imediato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 adicional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coluna booleana + condição na query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organization_id na tabela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isolamento por tenant via RLS já existente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nenhum: segue o padrão de todas as tabelas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FK + policies copiadas do padrão endurecido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template_id na proposta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 (esperar)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reprodutibilidade histórica do PDF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médio: muda escrita de propostas; exige backfill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 agora; alternativa de snapshot como recomendado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scope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distinguir default vs exclusivo vs premium — YAGNI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complexidade sem consumidor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template_type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idem; a chave do registry já tipa implicitamente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idem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config JSONB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 (reservar coluna)</w:t>
            </w:r>
          </w:p>
        </w:tc>
        <w:tc>
          <w:tcPr>
            <w:tcW w:type="pct" w:w="3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Nível 2 (cores/fontes/secções) sem código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médio se exposto cedo: UI de edição, validação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coluna criada agora, consumida depois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versionamento/rollback de modelos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alto: tabela extra + semântica de imutabilidade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 agora</w:t>
            </w:r>
          </w:p>
        </w:tc>
      </w:tr>
    </w:tbl>
    <w:p>
      <w:pPr>
        <w:spacing w:after="160" w:line="312"/>
      </w:pPr>
    </w:p>
    <w:p>
      <w:pPr>
        <w:pStyle w:val="Heading2"/>
        <w:spacing w:after="120" w:before="280" w:line="312"/>
      </w:pPr>
      <w:bookmarkStart w:id="100015" w:name="_Toc100015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5.1 Obrigatório agora (o mínimo que cria a fundação)</w:t>
      </w:r>
      <w:bookmarkEnd w:id="100015"/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Migration organization_templates com RLS copiada do padrão endurecido (Secção 6 e Secção 7).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Resolver resolverTemplateParaOrg(orgId, fallback) com a cadeia de fallback da Secção 4 e testes unitários sem rede.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Wiring nos três pontos de exportação: ResumoProposta (valor inicial do selector), GerarPropostaIA (inicialização do selector) e RevisaoProposta (dois call sites). O selector por proposta mantém-se — o utilizador continua a poder trocar o modelo na exportação.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Aba Templates no TenantDetailPage do painel admin: listar as linhas da org, definir default, activar/desactivar. Sem builder, sem edição de config.</w:t>
      </w:r>
    </w:p>
    <w:p>
      <w:pPr>
        <w:pStyle w:val="Heading2"/>
        <w:spacing w:after="120" w:before="280" w:line="312"/>
      </w:pPr>
      <w:bookmarkStart w:id="100016" w:name="_Toc100016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5.2 Recomendado mas pode esperar</w:t>
      </w:r>
      <w:bookmarkEnd w:id="100016"/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Snapshot do modelo usado na proposta: coluna template_key TEXT (ou campo no JSONB existente) gravada na exportação, para reprodutibilidade histórica. Pode esperar porque hoje o PDF é sempre regenerado com a preferência corrente e ninguém guarda PDFs em base de dados; quando fizer, é uma coluna pequena sem backfill obrigatório (NULL = comportamento legado).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Gating por plano: a coluna plan_limits.templates_pdf já existe (morta) e o sistema plan_features tem RPC fail-closed (padrão CRM). Activar uma feature custom_template quando houver estratégia comercial; não antes.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Unificação das duas fontes de verdade de cor (organizations.cor_primaria vs company_brand_profiles.primary_color), que hoje afectam fluxos diferentes — baixa prioridade, mas evita surpresas quando o Nível 2 chegar.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Correcção da policy de UPDATE de pdf_templates (exige apenas membership, contra admin nas restantes) caso a via HTML venha a ser activada.</w:t>
      </w:r>
    </w:p>
    <w:p>
      <w:pPr>
        <w:pStyle w:val="Heading2"/>
        <w:spacing w:after="120" w:before="280" w:line="312"/>
      </w:pPr>
      <w:bookmarkStart w:id="100017" w:name="_Toc100017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5.3 Futuro (explicitamente fora desta fase)</w:t>
      </w:r>
      <w:bookmarkEnd w:id="100017"/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Nível 2: consumo do config JSONB nos modelos (fontes, cores secundárias, mostrar/ocultar e ordem de secções).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Versionamento de templates (template_versions) e publicação/rollback.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Template Builder visual e drag-and-drop.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Activação da via HTML (pdf_templates) para self-service de administradores de tenant — exige dependências (DOMPurify, html2canvas), sanitização rigorosa e aceitação da perda de vectorialidade.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AI-assisted template creation (Secção 12.3).</w:t>
      </w:r>
    </w:p>
    <w:p>
      <w:pPr>
        <w:pStyle w:val="Heading2"/>
        <w:spacing w:after="120" w:before="280" w:line="312"/>
      </w:pPr>
      <w:bookmarkStart w:id="100018" w:name="_Toc100018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5.4 Estratégia de níveis e a fronteira configuração vs código</w:t>
      </w:r>
      <w:bookmarkEnd w:id="100018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divisão em níveis faz sentido técnico porque coincide com a fronteira real do sistema: o que entra pelos DADOS (já configurável sem código), o que pode entrar por CONFIG (JSONB interpretado pelos modelos) e o que exige APRESENTAÇÃO nova (código).</w:t>
      </w: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8 — Níveis de personalização e a via de implementação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pct" w:w="3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pct" w:w="2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Via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Nível 1 — Branding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logo, cor primária, dados fiscais, pagamentos, nome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dados da org (já implementado)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feito; falta apenas a escolha de modelo por org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Nível 2 — Layout por config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cores secundárias, fonte, mostrar/ocultar secções, ordem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config JSONB lido pelos modelos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coluna reservada; consumo futuro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Nível 3 — Template exclusivo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estrutura própria, componentes próprios, layout exclusivo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novo ficheiro .ts no registry + linha na tabela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 serviço premium a vender; suportado pela proposta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Nível 4 — Enterprise</w:t>
            </w:r>
          </w:p>
        </w:tc>
        <w:tc>
          <w:tcPr>
            <w:tcW w:type="pct" w:w="3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exclusividade contratual, versionamento, SLA, revisões</w:t>
            </w:r>
          </w:p>
        </w:tc>
        <w:tc>
          <w:tcPr>
            <w:tcW w:type="pct" w:w="2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processo + versões</w:t>
            </w:r>
          </w:p>
        </w:tc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futuro</w:t>
            </w:r>
          </w:p>
        </w:tc>
      </w:tr>
    </w:tbl>
    <w:p>
      <w:pPr>
        <w:spacing w:after="160" w:line="312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Pedidos atendíveis SEM tocar em código (Níveis 1-2): trocar logo e cores; renomear secções fixas via conteúdo; mostrar/ocultar blocos de pagamento; definir o modelo por omissão da organização. Pedidos que EXIGEM desenvolvimento (Nível 3+): novo layout de capa, tipografia estrutural diferente, componentes novos (ex.: cronograma gráfico, tabela de fases), reordenação radical de página. Esta distinção é comercialmente útil: o Nível 3 é precisamente o produto que o PropostaJá quer vender como serviço.</w:t>
      </w:r>
    </w:p>
    <w:p>
      <w:pPr>
        <w:pStyle w:val="Heading1"/>
        <w:spacing w:after="160" w:before="400" w:line="312"/>
      </w:pPr>
      <w:bookmarkStart w:id="100019" w:name="_Toc100019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6. Modelo de Dados Proposto</w:t>
      </w:r>
      <w:bookmarkEnd w:id="100019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modelo mínimo é uma única tabela. Cada campo justifica-se por um requisito actual ou por um custo de oportunidade quase nulo; os campos cujo único mérito seria elegância futura ficaram de fora (scope, template_type, version).</w:t>
      </w:r>
    </w:p>
    <w:p>
      <w:pPr>
        <w:spacing w:after="0" w:line="120"/>
      </w:pP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CREATE TABLE IF NOT EXISTS public.organization_templates (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id              UUID PRIMARY KEY DEFAULT gen_random_uuid(),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organization_id UUID NOT NULL REFERENCES public.organizations(id)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ON DELETE CASCADE,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template_key    TEXT NOT NULL,          -- chave do registry em codigo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nome            TEXT NOT NULL,          -- rotulo apresentado ao cliente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is_active       BOOLEAN NOT NULL DEFAULT true,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is_default      BOOLEAN NOT NULL DEFAULT false,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config          JSONB NOT NULL DEFAULT '{}',  -- reservado (Nivel 2)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created_at      TIMESTAMPTZ NOT NULL DEFAULT now(),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updated_at      TIMESTAMPTZ NOT NULL DEFAULT now()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-- SEM CHECK em template_key: a validacao real e o lookup no registry;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-- chaves desconhecidas degradam para fallback, nao para erro.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);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ALTER TABLE public.organization_templates ENABLE ROW LEVEL SECURITY;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-- 1 default activo por org, no maximo: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CREATE UNIQUE INDEX organization_templates_one_default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ON public.organization_templates (organization_id) WHERE is_default;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-- lookup do resolver: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CREATE INDEX organization_templates_org_active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ON public.organization_templates (organization_id) WHERE is_active;</w:t>
      </w:r>
    </w:p>
    <w:p>
      <w:pPr>
        <w:spacing w:after="160" w:line="120"/>
      </w:pP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9 — Justificação campo a campo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Necessário?</w:t>
            </w:r>
          </w:p>
        </w:tc>
        <w:tc>
          <w:tcPr>
            <w:tcW w:type="pct" w:w="6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Justificação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chave primária UUID padrão do schema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organization_id NOT NULL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6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isolamento por tenant; CASCADE elimina linhas com a org (higiene automática)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template_key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aponta ao modelo em código; é a única coisa que o resolver precisa para decidir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nome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6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rótulo comercial (ex.: 'Modelo Corporativo ACME') apresentado na aba admin e no selector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is_active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desactivar sem apagar (pedido n.º 3 do objectivo de negócio); inactiva -&gt; fallback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is_default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6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qual das linhas activas é a omissão da org; índice único parcial impõe no máximo uma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reservar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custo ~zero agora; é a porta do Nível 2 sem segunda migration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pct" w:w="6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auditoria mínima; trigger set_updated_at já existe no padrão do schema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scope / template_type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sem consumidores; a semântica vive na chave e no contexto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versão</w:t>
            </w:r>
          </w:p>
        </w:tc>
        <w:tc>
          <w:tcPr>
            <w:tcW w:type="pct" w:w="1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pct" w:w="6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versionamento é requisito futuro explícito; fazer agora é sobre-engenharia</w:t>
            </w:r>
          </w:p>
        </w:tc>
      </w:tr>
    </w:tbl>
    <w:p>
      <w:pPr>
        <w:spacing w:after="160" w:line="312"/>
      </w:pPr>
    </w:p>
    <w:p>
      <w:pPr>
        <w:pStyle w:val="Heading2"/>
        <w:spacing w:after="120" w:before="280" w:line="312"/>
      </w:pPr>
      <w:bookmarkStart w:id="100020" w:name="_Toc100020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6.1 AGORA vs FUTURO</w:t>
      </w:r>
      <w:bookmarkEnd w:id="100020"/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AGORA: organization_templates (com config reservado) + RLS + índices; types.ts espelhado manualmente (padrão já usado no projecto quando o gen types não corre).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FUTURO: template_versions (imutáveis, com published_at e rollback), coluna template_key na exportação de propostas (snapshot), feature flag custom_template em plan_features, e o Nível 2 (contrato do config JSONB).</w:t>
      </w:r>
    </w:p>
    <w:p>
      <w:pPr>
        <w:pStyle w:val="Heading2"/>
        <w:spacing w:after="120" w:before="280" w:line="312"/>
      </w:pPr>
      <w:bookmarkStart w:id="100021" w:name="_Toc100021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6.2 Porque não adoptar já a tabela pdf_templates nem criar template_versions</w:t>
      </w:r>
      <w:bookmarkEnd w:id="100021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tabela pdf_templates foi desenhada para um produto diferente do que se pretende agora: HTML colado por admins de tenant, renderizado com html2canvas (raster, texto não seleccionável), com dependências não instaladas, sanitização por fazer e uma policy de UPDATE mais fraca que as restantes. Adoptá-la agora trocaria o motor vectorial maduro por um pipeline inferior e multiplicaria a superfície de segurança — exactamente o tipo de complexidade que o princípio fundamental manda evitar. Ela permanece no repositório como hipótese futura de self-service, e a auditoria recomenda apenas corrigir-lhe a policy quando for activada. Quanto a template_versions: o versionamento só tem valor quando existirem modelos mutáveis em base de dados (config JSONB) ou contrato enterprise; criá-la hoje seria migrar estrutura sem comportamento — a coluna blueprint_version do blueprint engine mostra que o schema sabe crescer nesta direcção quando for preciso.</w:t>
      </w:r>
    </w:p>
    <w:p>
      <w:pPr>
        <w:pStyle w:val="Heading1"/>
        <w:spacing w:after="160" w:before="400" w:line="312"/>
      </w:pPr>
      <w:bookmarkStart w:id="100022" w:name="_Toc100022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7. Segurança Multi-Tenant</w:t>
      </w:r>
      <w:bookmarkEnd w:id="100022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objectivo é garantir que o Tenant A só utiliza e visualiza o seu template e o Tenant B o seu, sem qualquer caminho cruzado. A arquitectura proposta herda o modelo de ameaças já resolvido do projecto em vez de inventar um novo: a organização nunca é determinada por um valor enviado pelo frontend — é sempre derivada da autenticação.</w:t>
      </w:r>
    </w:p>
    <w:p>
      <w:pPr>
        <w:pStyle w:val="Heading2"/>
        <w:spacing w:after="120" w:before="280" w:line="312"/>
      </w:pPr>
      <w:bookmarkStart w:id="100023" w:name="_Toc100023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7.1 Como o backend determina a organização</w:t>
      </w:r>
      <w:bookmarkEnd w:id="100023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Regra: o organization_id do payload do frontend é, no máximo, uma dica de UX. A autoridade vem do JWT. No PostgREST (todas as queries do browser), auth.uid() + RLS decidem: a policy USING user_belongs_to_org(organization_id) avalia a pertença do utilizador autenticado à organização DA PRÓPRIA LINHA — um pedido que tente ler organization_templates de outra org devolve zero linhas, sem erro revelador. Nas Edge Functions, o padrão existente verifyAuth valida o JWT e devolve um cliente Supabase autenticado com o token do utilizador (respeita RLS); o cliente service-role é reservado a operações administrativas já verificadas (como admin-create-tenant, que valida platform_admins). O generate-proposal resolve a organização da própria linha da proposta na base de dados (proposta.organization_id), não do payload. Nenhuma Edge Function nova é necessária nesta fase — o resolver é client-side sobre dados já autorizados por RLS, e o PDF é gerado sobre dados que o próprio tenant já pode ler.</w:t>
      </w:r>
    </w:p>
    <w:p>
      <w:pPr>
        <w:pStyle w:val="Heading2"/>
        <w:spacing w:after="120" w:before="280" w:line="312"/>
      </w:pPr>
      <w:bookmarkStart w:id="100024" w:name="_Toc100024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7.2 Policies propostas (padrão endurecido do projecto)</w:t>
      </w:r>
      <w:bookmarkEnd w:id="100024"/>
    </w:p>
    <w:p>
      <w:pPr>
        <w:spacing w:after="0" w:line="120"/>
      </w:pP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SELECT  org_select_member:  user_belongs_to_org(organization_id)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OR has_role(auth.uid(),'admin')            -- platform admin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INSERT  org_manage_admin:   WITH CHECK user_belongs_to_org(organization_id)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AND user_role_in_org(organization_id) IN ('owner','admin')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OR has_role(auth.uid(),'admin')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UPDATE  org_manage_admin:   igual ao INSERT (USING + WITH CHECK)  -- NOTA: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exige admin+, ao contrario da pdf_templates dormente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DELETE  org_manage_admin:   igual ao UPDATE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-- membros (viewer/member) so leem; donos/admins gerem; platform admin tudo.</w:t>
      </w:r>
    </w:p>
    <w:p>
      <w:pPr>
        <w:spacing w:after="160" w:line="120"/>
      </w:pPr>
    </w:p>
    <w:p>
      <w:pPr>
        <w:pStyle w:val="Heading2"/>
        <w:spacing w:after="120" w:before="280" w:line="312"/>
      </w:pPr>
      <w:bookmarkStart w:id="100025" w:name="_Toc100025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7.3 Análise superfície a superfície</w:t>
      </w:r>
      <w:bookmarkEnd w:id="100025"/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10 — Superfícies de segurança e mitigação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Superfície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pct" w:w="4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Queries do frontend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tentar ler/gravar templates de outra org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RLS por linha (user_belongs_to_org); zero linhas devolvidas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Resolver client-side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orgId adulterado no browser (devtools)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 query passa pela mesma RLS; org alheia = 0 linhas = fallback do próprio user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Edge Functions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confiar em org_id do body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nenhuma edge nova; padrão existente verifyAuth + cliente com JWT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Geração de PDF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usar template de outro tenant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impossível por construção: só vê linhas da própria org; modelos de código são globais (partilhados, sem dados sensíveis)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imagens de templates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nesta fase não há imagens em storage para templates; logos já são org-aware (logos/{org_id}/)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URLs assinadas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partilha de links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logo org: signed URL 3600s, leitura gated por RLS de storage; sem novo bucket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Caches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stale cache após troca de org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useOrganization já faz queryClient.clear() na troca; resolver lê a cada exportação (sem cache próprio)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Admin da plataforma</w:t>
            </w:r>
          </w:p>
        </w:tc>
        <w:tc>
          <w:tcPr>
            <w:tcW w:type="pct" w:w="3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abuso interno</w:t>
            </w:r>
          </w:p>
        </w:tc>
        <w:tc>
          <w:tcPr>
            <w:tcW w:type="pct" w:w="4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has_role('admin') é o bypass deliberado e auditável (padrão de todo o painel)</w:t>
            </w:r>
          </w:p>
        </w:tc>
      </w:tr>
    </w:tbl>
    <w:p>
      <w:pPr>
        <w:spacing w:after="160" w:line="312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Duas notas finais de segurança. Primeira: os modelos de código são partilhados por todos os tenants (o exclusivismo vive na LINHA da tabela, não no binário) — por isso um modelo exclusivo Nível 3 não pode conter dados sensíveis do cliente no código; o branding continua a vir da org em runtime, e o código contém apenas layout. Segunda: o seed de qualquer template de sistema (is_system) deve ficar fora desta tabela — os modelos globais já vivem no registry de código; duplicar o conceito seria recriar a confusão que a tabela pdf_templates introduziu.</w:t>
      </w:r>
    </w:p>
    <w:p>
      <w:pPr>
        <w:pStyle w:val="Heading1"/>
        <w:spacing w:after="160" w:before="400" w:line="312"/>
      </w:pPr>
      <w:bookmarkStart w:id="100026" w:name="_Toc100026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8. Impacto no Sistema Actual</w:t>
      </w:r>
      <w:bookmarkEnd w:id="100026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tabela seguinte resume, área a área, o estado actual, a mudança necessária e o risco classificado. A leitura importante é colunar: todas as alterações obrigatórias concentram-se em ficheiros NOVOS (migration, resolver) e em pontos de wiring pequenos e reversíveis — nenhum ficheiro do motor de PDF é tocado.</w:t>
      </w: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11 — Matriz de impacto por área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pct" w:w="3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Estado actual</w:t>
            </w:r>
          </w:p>
        </w:tc>
        <w:tc>
          <w:tcPr>
            <w:tcW w:type="pct" w:w="3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Mudança necessária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Banco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sem tabela de associação org-modelo; pdf_templates dormente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nova tabela organization_templates + índices + RLS (CREATE puro, sem ALTER em tabelas existentes)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Templates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4 modelos em código; registry fixo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nenhuma mudança obrigatória; Nível 3 acrescenta ficheiros novos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motor vectorial jsPDF maduro; 28 testes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ZERO mudanças no motor e nos modelos (resolver injecta só o templateId)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Propostas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organization_id + owner_id + blueprint_id; sem coluna de modelo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nenhuma nesta fase (snapshot fica como recomendado)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Organização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branding completo já na org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nenhuma mudança de dados; apenas leitura de nova tabela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RLS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padrão endurecido em todas as tabelas de negócio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policies cópia do padrão para a tabela nova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painel com tenants/planos/features; galeria de modelos (por user)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aba Templates no TenantDetailPage (listar/default/activar)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3 pontos de exportação leem localStorage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wiring do resolver em 3 páginas (com fallback ao valor actual)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W w:type="pct" w:w="3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bucket logos org-aware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nenhuma mudança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AI</w:t>
            </w:r>
          </w:p>
        </w:tc>
        <w:tc>
          <w:tcPr>
            <w:tcW w:type="pct" w:w="3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proposta_ai org-scoped; edge com JWT</w:t>
            </w:r>
          </w:p>
        </w:tc>
        <w:tc>
          <w:tcPr>
            <w:tcW w:type="pct" w:w="3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nenhuma mudança</w:t>
            </w:r>
          </w:p>
        </w:tc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60" w:line="312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único item MEDIUM é a aba de administração — não por complexidade técnica, mas porque toca no painel que a plataforma usa em produção; a mitigação é restringir a primeira versão a operações de leitura, definir default e activar/desactivar, sem builder nem edição de config. O wiring do frontend é LOW-MEDIUM apenas por tocar em três páginas de exportação; cada ponto é uma linha trocada (obterTemplateDefault() -&gt; await resolverTemplateParaOrg(orgId, valorAtual)) com fallback idêntico ao comportamento corrente.</w:t>
      </w:r>
    </w:p>
    <w:p>
      <w:pPr>
        <w:pStyle w:val="Heading1"/>
        <w:spacing w:after="160" w:before="400" w:line="312"/>
      </w:pPr>
      <w:bookmarkStart w:id="100027" w:name="_Toc100027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9. Análise de Riscos</w:t>
      </w:r>
      <w:bookmarkEnd w:id="100027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Cinco categorias de risco foram consideradas — técnico, de regressão, de segurança, de complexidade e de manutenção — e materializadas nos seis riscos concretos seguintes, cada um com probabilidade, impacto e mitigação. Nenhum risco identificado é alto nas duas dimensões em simultâneo, e todos têm mitigação barata.</w:t>
      </w: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12 — Registo de riscos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pct" w:w="1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pct" w:w="1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Regressão nos 3 fluxos de exportação por erro no wiring do resolver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fallback encadeado idêntico ao comportamento actual; testes unitários sem rede; validação tsc/lint/vitest de cada commit; um commit por ponto de wiring (revertível isoladamente)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Confusão de precedência user vs org (utilizadores que esperam a SUA preferência e recebem a da org)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baixo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precedência documentada (proposta &gt; org &gt; user &gt; sistema); o selector por proposta permanece e ganha sempre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Adopção precoce da via HTML dormente (pdf_templates): raster, sanitização, policy fraca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decisão explícita de NÃO activar; queda registada na Secção 6.2; se um dia for activada, corrigir a policy de UPDATE primeiro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Chave órfã: linha aponta para modelo de código removido num deploy futuro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o resolver valida a chave contra o registry e degrada para fallback; teste unitário dedicado ao caso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RLS mal copiada para a tabela nova (copiar da pdf_templates em vez do padrão endurecido)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copiar as policies das tabelas de negócio (não as da pdf_templates); testes de isolamento cross-tenant na staging; revisão da migration com validador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Scope creep para builder/versionamento nesta fase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pct" w:w="1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pct" w:w="40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plano por etapas aprovadas; cada etapa só entra com pedido explícito; coluna config fica reservada e não exposta em UI</w:t>
            </w:r>
          </w:p>
        </w:tc>
      </w:tr>
    </w:tbl>
    <w:p>
      <w:pPr>
        <w:spacing w:after="160" w:line="312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risco residual mais provável é operacional, não técnico: a partir do momento em que uma organização tem default definido, o suporte precisa de saber que o selector da proposta continua a ganhar — a documentação interna de uma página (precedência de escolha) elimina a ambiguidade. O risco de manutenção dos Níveis 3 (cada cliente com ficheiro de código próprio) é real e cresce linearmente com o número de clientes premium; é precisamente por isso que o versionamento e o contrato de config JSONB estão planeados como fase posterior, e que os modelos devem derivar de cópias de um modelo base bem testado.</w:t>
      </w:r>
    </w:p>
    <w:p>
      <w:pPr>
        <w:pStyle w:val="Heading1"/>
        <w:spacing w:after="160" w:before="400" w:line="312"/>
      </w:pPr>
      <w:bookmarkStart w:id="100028" w:name="_Toc100028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10. Plano de Implementação Incremental</w:t>
      </w:r>
      <w:bookmarkEnd w:id="100028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 plano segue a disciplina já usada no projecto: etapas pequenas, semanticamente commitadas, cada uma validada (tsc --force, eslint à baseline, vitest, build) e revertível isoladamente. A Etapa 0 é esta auditoria; nada abaixo dela acontece sem aprovação explícita.</w:t>
      </w:r>
    </w:p>
    <w:p>
      <w:pPr>
        <w:keepNext/>
        <w:spacing w:after="100" w:before="200" w:line="312"/>
      </w:pPr>
      <w:r>
        <w:rPr>
          <w:rFonts w:ascii="Times New Roman" w:eastAsia="Microsoft YaHei"/>
          <w:b/>
          <w:bCs/>
          <w:color w:val="162235"/>
          <w:sz w:val="21"/>
          <w:szCs w:val="21"/>
        </w:rPr>
        <w:t xml:space="preserve">Tabela 13 — Etapas, entregáveis e rollback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2"/>
          <w:insideV w:val="single" w:color="C8DDE2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pct" w:w="4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Entregável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Validação</w:t>
            </w:r>
          </w:p>
        </w:tc>
        <w:tc>
          <w:tcPr>
            <w:tcW w:type="pct" w:w="1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tLeast"/>
              <w:jc w:val="left"/>
            </w:pPr>
            <w:r>
              <w:rPr>
                <w:rFonts w:ascii="Times New Roman" w:eastAsia="Microsoft YaHei"/>
                <w:b/>
                <w:bCs/>
                <w:color w:val="FFFFFF"/>
                <w:sz w:val="18"/>
                <w:szCs w:val="18"/>
              </w:rPr>
              <w:t xml:space="preserve">Rollback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0. Auditoria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este documento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aprovação do dono do produto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1. Modelo</w:t>
            </w:r>
          </w:p>
        </w:tc>
        <w:tc>
          <w:tcPr>
            <w:tcW w:type="pct" w:w="4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migration organization_templates (+RLS+índices) + espelho em types.ts + validador sqlglot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sqlglot/staging; git revert da migration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revert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2. Resolver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src/lib/pdf/resolver.ts + testes unitários + wiring nos 3 pontos de exportação (3 commits)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tsc/eslint/vitest/build; paridade visual dos 4 modelos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revert por commit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3. Admin</w:t>
            </w:r>
          </w:p>
        </w:tc>
        <w:tc>
          <w:tcPr>
            <w:tcW w:type="pct" w:w="4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aba Templates no TenantDetailPage (listar/default/activar)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browser real em staging com 2 tenants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revert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4. Piloto Nível 3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primeiro template exclusivo de código para um cliente (ficheiro + registry + linha na tabela) + procedimento operacional documentado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QA visual + cliente aprova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desactivar linha (is_active=false)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5. Config Nível 2 (futuro)</w:t>
            </w:r>
          </w:p>
        </w:tc>
        <w:tc>
          <w:tcPr>
            <w:tcW w:type="pct" w:w="42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contrato do config JSONB + consumo nos modelos + duplicação na UI</w:t>
            </w:r>
          </w:p>
        </w:tc>
        <w:tc>
          <w:tcPr>
            <w:tcW w:type="pct" w:w="24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testes de paridade por config</w:t>
            </w:r>
          </w:p>
        </w:tc>
        <w:tc>
          <w:tcPr>
            <w:tcW w:type="pct" w:w="18%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por trás de feature flag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6. Builder/versões (futuro)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versionamento, preview, builder, AI-assisted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 definir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4" w:lineRule="atLeast"/>
              <w:jc w:val="left"/>
            </w:pPr>
            <w:r>
              <w:rPr>
                <w:rFonts w:ascii="Times New Roman" w:eastAsia="Microsoft YaHei"/>
                <w:color w:val="000000"/>
                <w:sz w:val="18"/>
                <w:szCs w:val="18"/>
              </w:rPr>
              <w:t xml:space="preserve">a definir</w:t>
            </w:r>
          </w:p>
        </w:tc>
      </w:tr>
    </w:tbl>
    <w:p>
      <w:pPr>
        <w:spacing w:after="160" w:line="312"/>
      </w:pPr>
    </w:p>
    <w:p>
      <w:pPr>
        <w:pStyle w:val="Heading2"/>
        <w:spacing w:after="120" w:before="280" w:line="312"/>
      </w:pPr>
      <w:bookmarkStart w:id="100029" w:name="_Toc100029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10.1 Garantia de não-regressão</w:t>
      </w:r>
      <w:bookmarkEnd w:id="100029"/>
    </w:p>
    <w:p>
      <w:pPr>
        <w:spacing w:after="0" w:line="120"/>
      </w:pP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ANTES                              DEPOIS (comportamento exigido)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---------------------------------  ---------------------------------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Org SEM templates -&gt;               Org SEM templates -&gt;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preferencia do user (localStorage)  MESMO resultado: resolver devolve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('executivo' se nada definido)      o fallback identico (linha 0 lida)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Resumo da proposta abre 'cotacao'    continua a abrir no valor resolvido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(sem linha na org: 'cotacao')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Org COM template default ACTIVO     NOVO: exportacoes usam o modelo da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org (selector continua a permitir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trocar na exportacao)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Org COM template DESACTIVADO         fallback (como se nao existisse)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Proposta antiga -&gt; regera PDF        regera EXACTAMENTE como hoje (o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com preferencia corrente             sistema nao guarda PDFs; snapshot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                                     fica como recomendado, nao agora)</w:t>
      </w:r>
    </w:p>
    <w:p>
      <w:pPr>
        <w:spacing w:after="160" w:line="120"/>
      </w:pP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Nada disto exige migração de dados: não há PDFs armazenados, não há histórico de modelos para retro-preencher e a tabela nasce vazia. O desligamento de emergência é trivial: uma organização volta ao comportamento actual removendo/desactivando as suas linhas — ou, no pior caso, revertendo os commits do resolver.</w:t>
      </w:r>
    </w:p>
    <w:p>
      <w:pPr>
        <w:pStyle w:val="Heading2"/>
        <w:spacing w:after="120" w:before="280" w:line="312"/>
      </w:pPr>
      <w:bookmarkStart w:id="100030" w:name="_Toc100030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10.2 O que NÃO deve ser alterado agora</w:t>
      </w:r>
      <w:bookmarkEnd w:id="100030"/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Não refactorar o motor de PDF (motor.ts) nem reescrever os 4 templates existentes.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Não activar a via HTML (pdf_templates) nem instalar html2canvas/DOMPurify.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Não criar o Template Builder, nem drag-and-drop, nem preview sandbox.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Não adicionar coluna de modelo a proposals (fica como recomendado futuro).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Não criar template_versions nem sistema de publicação/rollback.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Não migrar documentos antigos — não existem documentos armazenados para migrar.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Não tocar no blueprint engine, nos fluxos de IA, no email, no storage ou nas policies existentes.</w:t>
      </w:r>
    </w:p>
    <w:p>
      <w:pPr>
        <w:pStyle w:val="Heading1"/>
        <w:spacing w:after="160" w:before="400" w:line="312"/>
      </w:pPr>
      <w:bookmarkStart w:id="100031" w:name="_Toc100031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11. Plano de Testes</w:t>
      </w:r>
      <w:bookmarkEnd w:id="100031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Os testes são propostos ANTES de qualquer implementação, e escrevem-se no mesmo ciclo das etapas 1-2. Seguem a taxonomia já praticada no projecto: unitários em vitest sem rede, verificação de RLS em staging, e regressão visual dos modelos.</w:t>
      </w:r>
    </w:p>
    <w:p>
      <w:pPr>
        <w:pStyle w:val="Heading2"/>
        <w:spacing w:after="120" w:before="280" w:line="312"/>
      </w:pPr>
      <w:bookmarkStart w:id="100032" w:name="_Toc100032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11.1 Unitários do resolver (vitest, sem rede)</w:t>
      </w:r>
      <w:bookmarkEnd w:id="100032"/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Org com linha default activa válida -&gt; devolve a chave da org.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Org com linha default INACTIVA -&gt; devolve o fallback (não a linha).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Org sem linhas -&gt; devolve o fallback (idêntico ao comportamento actual).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Chave órfã (linha aponta para modelo removido) -&gt; fallback 'executivo' do registry, nunca erro.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Erro de rede/Supabase rejeitada -&gt; fallback; a função nunca lança.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Sem orgId (utilizador sem organização) -&gt; fallback directo, sem query.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Precedência completa: selector da proposta &gt; default da org &gt; preferência do user &gt; hardcoded.</w:t>
      </w:r>
    </w:p>
    <w:p>
      <w:pPr>
        <w:pStyle w:val="Heading2"/>
        <w:spacing w:after="120" w:before="280" w:line="312"/>
      </w:pPr>
      <w:bookmarkStart w:id="100033" w:name="_Toc100033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11.2 Isolamento multi-tenant (SQL/staging)</w:t>
      </w:r>
      <w:bookmarkEnd w:id="100033"/>
    </w:p>
    <w:p>
      <w:pPr>
        <w:spacing w:after="0" w:line="120"/>
      </w:pP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Cenario                                   Esperado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----------------------------------------  ------------------------------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Tenant A tem Template A (default activo)  A usa A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Membro de A tenta ler templates de B      0 linhas (RLS)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Tenant B tem Template B (default activo)  B usa B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Membro de B tenta ler templates de A      0 linhas (RLS)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Member/viewer de A tenta INSERT/UPDATE    negado (exige owner/admin)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Owner de A define default / desactiva     permitido; efeito imediato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Platform admin (has_role 'admin')         le e gere tudo</w:t>
      </w:r>
    </w:p>
    <w:p>
      <w:pPr>
        <w:shd w:fill="F1F5F9" w:val="clear"/>
        <w:spacing w:after="0" w:line="240" w:lineRule="atLeast"/>
        <w:ind w:left="120" w:right="120"/>
        <w:jc w:val="left"/>
      </w:pPr>
      <w:r>
        <w:rPr>
          <w:rFonts w:ascii="Courier New" w:eastAsia="Courier New"/>
          <w:color w:val="1E2A38"/>
          <w:sz w:val="18"/>
          <w:szCs w:val="18"/>
        </w:rPr>
        <w:t xml:space="preserve">Dois defaults na mesma org                bloqueado pelo indice unico parcial</w:t>
      </w:r>
    </w:p>
    <w:p>
      <w:pPr>
        <w:spacing w:after="160" w:line="120"/>
      </w:pPr>
    </w:p>
    <w:p>
      <w:pPr>
        <w:pStyle w:val="Heading2"/>
        <w:spacing w:after="120" w:before="280" w:line="312"/>
      </w:pPr>
      <w:bookmarkStart w:id="100034" w:name="_Toc100034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11.3 Regressão dos fluxos existentes</w:t>
      </w:r>
      <w:bookmarkEnd w:id="100034"/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Os 28 testes actuais de geração de PDF (geracaoPdf.test.ts) passam sem alterações — o motor não muda.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Paridade visual: os 4 modelos geram byte-a-byte o mesmo PDF para os mesmos dados quando a org não tem linhas (a chave resolvida é a mesma que hoje).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Proposta antiga (criada antes da tabela): exportação continua a funcionar nos 3 fluxos.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Exportação com troca manual de modelo no selector: a escolha do utilizador ganha à da org.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Email com PDF anexado: templateId resolvido chega ao propostaEmailService igualmente.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Utilizador multi-org: trocar de organização activa muda o modelo resolvido (queryClient.clear() já existe; resolver lê a cada exportação).</w:t>
      </w:r>
    </w:p>
    <w:p>
      <w:pPr>
        <w:pStyle w:val="Heading2"/>
        <w:spacing w:after="120" w:before="280" w:line="312"/>
      </w:pPr>
      <w:bookmarkStart w:id="100035" w:name="_Toc100035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11.4 Validação manual em browser (staging)</w:t>
      </w:r>
      <w:bookmarkEnd w:id="100035"/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Org A com default 'editorial': exportar cotação, Doc A e proposta avançada — todas saem Editorial.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Org B sem linhas: exportações idênticas ao comportamento pré-deploy (capturas antes/depois).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Desactivar o default da org A: exportações voltam ao fallback SEM deploy.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Times New Roman" w:eastAsia="Microsoft YaHei"/>
          <w:color w:val="000000"/>
          <w:sz w:val="24"/>
          <w:szCs w:val="24"/>
        </w:rPr>
        <w:t xml:space="preserve">Painel admin: definir default, activar/desactivar, sem expor config.</w:t>
      </w:r>
    </w:p>
    <w:p>
      <w:pPr>
        <w:pStyle w:val="Heading1"/>
        <w:spacing w:after="160" w:before="400" w:line="312"/>
      </w:pPr>
      <w:bookmarkStart w:id="100036" w:name="_Toc100036"/>
      <w:r>
        <w:rPr>
          <w:rFonts w:ascii="Times New Roman" w:eastAsia="Microsoft YaHei"/>
          <w:b/>
          <w:bCs/>
          <w:color w:val="162235"/>
          <w:sz w:val="32"/>
          <w:szCs w:val="32"/>
        </w:rPr>
        <w:t xml:space="preserve">12. Recomendação Final</w:t>
      </w:r>
      <w:bookmarkEnd w:id="100036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Se este fosse o meu projecto, faria exactamente quatro coisas, por esta ordem: (1) aprovar esta auditoria como base de decisão e confirmar em SQL quais das migrações dormentes estão efectivamente aplicadas no projecto Supabase real; (2) implementar as Etapas 1-2 numa tarde — uma migration pequena e um resolver com fallback, três linhas de wiring — porque criam a fundação de organização-&gt;modelo sem tocar no motor e sem qualquer regressão possível para tenants sem linhas; (3) acrescentar a aba de administração (Etapa 3) para que gerir defaults seja operacional sem SQL; e (4) vender o primeiro template exclusivo (Etapa 4) como piloto pago a um único cliente, usando-o para aprender o procedimento operacional antes de qualquer builder ou versionamento. E não faria mais nada: nem a via HTML, nem versões, nem builder — cada uma dessas portas continua aberta e mais barata de atravessar depois desta fundação existir do que agora.</w:t>
      </w:r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À pergunta central — o PropostaJá está preparado para começar a vender templates personalizados por organização? — a resposta fundamentada é SIM, COM PEQUENAS ALTERAÇÕES: o que falta é a ligação organização-modelo (tabela + resolver + aba admin), estimável em duas etapas de trabalho de baixo risco; tudo o resto — motor vectorial maduro, branding por org, RLS endurecida, storage org-aware, painel admin, sistema de planos — já existe e está validado. A capacidade de Nível 3 (modelo exclusivo como serviço) nasce de um ficheiro de código novo registado no mesmo padrão dos quatro existentes, o que mantém a qualidade vectorial e o conjunto de testes como barreira de entrada.</w:t>
      </w:r>
    </w:p>
    <w:p>
      <w:pPr>
        <w:pStyle w:val="Heading2"/>
        <w:spacing w:after="120" w:before="280" w:line="312"/>
      </w:pPr>
      <w:bookmarkStart w:id="100037" w:name="_Toc100037"/>
      <w:r>
        <w:rPr>
          <w:rFonts w:ascii="Times New Roman" w:eastAsia="Microsoft YaHei"/>
          <w:b/>
          <w:bCs/>
          <w:color w:val="162235"/>
          <w:sz w:val="30"/>
          <w:szCs w:val="30"/>
        </w:rPr>
        <w:t xml:space="preserve">12.1 Evolução futura suportada pela proposta</w:t>
      </w:r>
      <w:bookmarkEnd w:id="100037"/>
    </w:p>
    <w:p>
      <w:pPr>
        <w:spacing w:after="160" w:line="312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A arquitectura proposta suporta naturalmente o roadmap imaginável: o config JSONB abre o Nível 2 (configuração sem código) e transforma a duplicação numa operação de cópia de linha; o versionamento chega como tabela imutável de versões quando houver modelos mutáveis em base de dados — o precedent do blueprint_version já existe no schema; o preview e o builder visual são camadas de UI sobre o registry e o config, sem reacção em cadeia no motor; e a criação assistida por IA de templates torna-se plausível porque cabe na mesma estrutura: um pedido como crie um template corporativo azul para uma empresa de construção traduz-se, num primeiro estágio, em escolha de modelo base + preenchimento do config (cores, fonte, estilo) — ou seja, um gerador de LINHAS de organization_templates e de config JSONB, com validação humana antes da activação; num estágio avançado, em geração assistida do próprio ficheiro de modelo, com o humano a rever antes do registo. Nenhum destes saltos exige desfazer nada do que esta proposta introduz — que é o critério de uma fundação correcta.</w:t>
      </w:r>
    </w:p>
    <w:p>
      <w:pPr>
        <w:pBdr>
          <w:left w:val="single" w:color="1B6B7A" w:sz="12" w:space="10"/>
        </w:pBdr>
        <w:shd w:fill="EDF3F5" w:val="clear"/>
        <w:spacing w:after="200" w:before="120" w:line="312"/>
        <w:ind w:left="200" w:right="120"/>
        <w:jc w:val="both"/>
      </w:pPr>
      <w:r>
        <w:rPr>
          <w:rFonts w:ascii="Times New Roman" w:eastAsia="Microsoft YaHei"/>
          <w:color w:val="000000"/>
          <w:sz w:val="24"/>
          <w:szCs w:val="24"/>
        </w:rPr>
        <w:t xml:space="preserve">Condição prévia à Etapa 1: verificar no projecto Supabase real (SQL Editor) se as migrações do blueprint engine e da pdf_templates foram aplicadas e em que estado — o resultado não bloqueia a proposta (a tabela nova é independente), mas elimina a incerteza NÃO CONFIRMADO desta auditoria antes de qualquer deploy.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eastAsia="Microsoft YaHei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eastAsia="Microsoft YaHei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spacing w:line="240"/>
      <w:jc w:val="center"/>
    </w:pPr>
    <w:r>
      <w:rPr>
        <w:rFonts w:ascii="Times New Roman" w:eastAsia="Microsoft YaHei"/>
        <w:color w:val="808080"/>
        <w:sz w:val="18"/>
        <w:szCs w:val="18"/>
      </w:rPr>
      <w:t xml:space="preserve">PropostaJá — Templates Personalizados por Organização · Auditoria Técnica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spacing w:line="240"/>
      <w:jc w:val="center"/>
    </w:pPr>
    <w:r>
      <w:rPr>
        <w:rFonts w:ascii="Times New Roman" w:eastAsia="Microsoft YaHei"/>
        <w:color w:val="808080"/>
        <w:sz w:val="18"/>
        <w:szCs w:val="18"/>
      </w:rPr>
      <w:t xml:space="preserve">PropostaJá — Templates Personalizados por Organização · Auditoria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12"/>
      <w:outlineLvl w:val="0"/>
    </w:pPr>
    <w:rPr>
      <w:rFonts w:ascii="Times New Roman" w:eastAsia="Microsoft YaHei"/>
      <w:b/>
      <w:bCs/>
      <w:color w:val="1622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eastAsia="Microsoft YaHei"/>
      <w:b/>
      <w:bCs/>
      <w:color w:val="16223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eastAsia="Microsoft YaHei"/>
      <w:b/>
      <w:bCs/>
      <w:color w:val="162235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Personalizados por Organização — Auditoria e Proposta de Arquitectura</dc:title>
  <dc:creator>PropostaJá — Engenharia</dc:creator>
  <dc:description>Auditoria técnica do estado actual e proposta incremental (sem implementação)</dc:description>
  <cp:lastModifiedBy>Un-named</cp:lastModifiedBy>
  <cp:revision>1</cp:revision>
  <dcterms:created xsi:type="dcterms:W3CDTF">2026-10-07T07:33:50.166Z</dcterms:created>
  <dcterms:modified xsi:type="dcterms:W3CDTF">2026-10-07T07:33:50.166Z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