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175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P  R  O  P  O  S  T  A  J  A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Templates Personalizados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por Organização</w:t>
            </w:r>
          </w:p>
          <w:p>
            <w:pPr>
              <w:spacing w:after="800" w:line="312"/>
              <w:ind w:left="1200" w:right="8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Relatório de implementação — Etapas 1 a 3 da proposta aprovada: modelo de dados, resolver com fallback e administração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 w:right="8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Sistema: PropostaJá — SaaS multi-tenant de propostas comerciais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 w:right="8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Base de código: branch feature/multi-user-hierarchy · 5cd87fc → 27fb0f8 (6 commits)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 w:right="8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Validação: tsc 0 erros · eslint 0 · vitest 39/39 · build de produção OK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 w:right="8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Data: 07 de Outubro de 2026</w:t>
            </w:r>
          </w:p>
          <w:p>
            <w:pPr>
              <w:spacing w:before="4175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Documento técnico interno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Outubro de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Resumo Executivo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Estado Inicial e Âmbito Aprovado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O Que Foi Implementado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 Etapa 1 — Modelo de dados (commit c357791)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 Etapa 2 — Resolver puro + service (commit 1e9f4a7)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 Wiring — os três pontos de exportação (commits c392bc3, 7f79ca0, 22287b4)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 Etapa 3 — Aba de administração (commit 27fb0f8)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 Ficheiros Criados e Alterados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 Segurança Multi-Tenant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6. Garantia de Não-Regressão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7. Validação Executada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7.1 Os 11 testes unitários do resolver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8. Testes — O Que Falta Executar em Staging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8.1 Isolamento multi-tenant (SQL, após aplicar a migration)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8.2 Validação manual em browser (staging, 2 tenants)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9. Riscos Residuais e Rollback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9.1 Rollback por componente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10. Próximos Passos Recomendados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Microsoft YaHei"/>
          <w:i/>
          <w:iCs/>
          <w:color w:val="888888"/>
          <w:sz w:val="18"/>
          <w:szCs w:val="18"/>
        </w:rPr>
        <w:t xml:space="preserve">Nota: este índice é gerado por códigos de campo. Após editar o documento, clique com o botão direito no índice e escolha 'Actualizar campo' para actualizar os números de página.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400" w:line="312"/>
      </w:pPr>
      <w:bookmarkStart w:id="100000" w:name="_Toc100000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1. Resumo Executivo</w:t>
      </w:r>
      <w:bookmarkEnd w:id="100000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Este relatório documenta a implementação das Etapas 1 a 3 da proposta de arquitectura "Templates Personalizados por Organização", aprovada explicitamente pelo dono do produto após a auditoria técnica. O trabalho decorreu no ramo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feature/multi-user-hierarchy</w:t>
      </w:r>
      <w:r>
        <w:rPr>
          <w:rFonts w:ascii="Times New Roman" w:eastAsia="Microsoft YaHei"/>
          <w:color w:val="000000"/>
          <w:sz w:val="24"/>
          <w:szCs w:val="24"/>
        </w:rPr>
        <w:t xml:space="preserve">, do commit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5cd87fc</w:t>
      </w:r>
      <w:r>
        <w:rPr>
          <w:rFonts w:ascii="Times New Roman" w:eastAsia="Microsoft YaHei"/>
          <w:color w:val="000000"/>
          <w:sz w:val="24"/>
          <w:szCs w:val="24"/>
        </w:rPr>
        <w:t xml:space="preserve"> (estado de aprovação, árvore limpa) até ao commit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27fb0f8</w:t>
      </w:r>
      <w:r>
        <w:rPr>
          <w:rFonts w:ascii="Times New Roman" w:eastAsia="Microsoft YaHei"/>
          <w:color w:val="000000"/>
          <w:sz w:val="24"/>
          <w:szCs w:val="24"/>
        </w:rPr>
        <w:t xml:space="preserve">, num total de seis commits semanticamente independentes e individualmente reversíveis. Todas as validações automáticas passaram em cada commit: compilação TypeScript sem erros, linter sem avisos nos ficheiros tocados, suite de testes completa (39 testes aprovados, 1 skip pré-existente) e build de produção concluído.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que passou a existir: a tabela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organization_templates</w:t>
      </w:r>
      <w:r>
        <w:rPr>
          <w:rFonts w:ascii="Times New Roman" w:eastAsia="Microsoft YaHei"/>
          <w:color w:val="000000"/>
          <w:sz w:val="24"/>
          <w:szCs w:val="24"/>
        </w:rPr>
        <w:t xml:space="preserve"> (com RLS endurecida e índice único parcial que impõe no máximo um default por organização), um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resolver</w:t>
      </w:r>
      <w:r>
        <w:rPr>
          <w:rFonts w:ascii="Times New Roman" w:eastAsia="Microsoft YaHei"/>
          <w:color w:val="000000"/>
          <w:sz w:val="24"/>
          <w:szCs w:val="24"/>
        </w:rPr>
        <w:t xml:space="preserve"> com cadeia de fallback idêntica ao comportamento anterior, o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wiring</w:t>
      </w:r>
      <w:r>
        <w:rPr>
          <w:rFonts w:ascii="Times New Roman" w:eastAsia="Microsoft YaHei"/>
          <w:color w:val="000000"/>
          <w:sz w:val="24"/>
          <w:szCs w:val="24"/>
        </w:rPr>
        <w:t xml:space="preserve"> nos três fluxos de exportação de PDF (cotação, proposta IA e proposta avançada) e uma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aba de administração</w:t>
      </w:r>
      <w:r>
        <w:rPr>
          <w:rFonts w:ascii="Times New Roman" w:eastAsia="Microsoft YaHei"/>
          <w:color w:val="000000"/>
          <w:sz w:val="24"/>
          <w:szCs w:val="24"/>
        </w:rPr>
        <w:t xml:space="preserve"> no painel de tenants que operacionaliza a gestão sem SQL. Com isto, uma organização com um template default activo passa a ver todas as suas exportações a sair nesse modelo — e uma organização sem linhas vê exactamente o mesmo comportamento de sempre, sem qualquer regressão.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que continua a não existir, por decisão deliberada: Template Builder, versionamento, consumo do config JSONB (Nível 2), via HTML e template exclusivo de código (Nível 3). O motor PDF, os quatro modelos vectoriais, as propostas, os fluxos de IA, o email e o storage não foram tocados — exactamente como a proposta mandava.</w:t>
      </w:r>
    </w:p>
    <w:p>
      <w:pPr>
        <w:pBdr>
          <w:left w:val="single" w:color="1B6B7A" w:sz="12" w:space="10"/>
        </w:pBdr>
        <w:shd w:fill="EDF3F5" w:val="clear"/>
        <w:spacing w:after="200" w:before="120" w:line="312"/>
        <w:ind w:left="200" w:right="1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Estado operacional: o código está completo e validado em local, mas a migration ainda não foi aplicada a nenhum projecto Supabase real. Até isso acontecer em staging e produção, todas as organizações continuam no comportamento pré-deploy (a tabela não existe → o resolver devolve sempre o fallback). O passo seguinte é do dono do produto, não do código.</w:t>
      </w:r>
    </w:p>
    <w:p>
      <w:pPr>
        <w:pStyle w:val="Heading1"/>
        <w:spacing w:after="160" w:before="400" w:line="312"/>
      </w:pPr>
      <w:bookmarkStart w:id="100001" w:name="_Toc100001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2. Estado Inicial e Âmbito Aprovado</w:t>
      </w:r>
      <w:bookmarkEnd w:id="100001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ponto de partida foi o commit 5cd87fc — o estado em que a auditoria foi entregue e aprovada: árvore limpa, sincronizada com o remoto, sem alterações de código desde o fecho da auditoria. A proposta aprovada definiu um plano de seis etapas reversíveis, das quais as três primeiras eram a fundação a implementar agora: o modelo de dados, o resolver com fallback e a aba de administração. A Etapa 0 (a própria auditoria) estava cumprida; as Etapas 4 a 6 (piloto Nível 3, config Nível 2, builder/versões) ficam para pedidos explícitos futuros.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disciplina de execução seguiu três regras fixadas na proposta: um commit por unidade reversível (a própria migração, o resolver, cada ponto de wiring, a aba admin), validação completa antes de cada commit, e zero alterações fora do âmbito aprovado. Em concreto, o plano de wiring pedia um commit por ponto de exportação — e foi isso que foi feito, para que qualquer fluxo possa ser revertido isoladamente sem tocar nos outros.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1 — Âmbito: aprovado agora vs. fora desta fase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Decisão da proposta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Cumprido?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Migration organization_templates (+RLS+índices)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implementar (Etapa 1)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 — commit c357791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Resolver com fallback + testes unitários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implementar (Etapa 2)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 — commit 1e9f4a7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Wiring nos 3 pontos de exportação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implementar (Etapa 2), 1 commit por ponto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 — c392bc3 / 7f79ca0 / 22287b4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Aba Templates no TenantDetailPage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implementar (Etapa 3)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 — commit 27fb0f8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Coluna de modelo em proposals (snapshot)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deixar como recomendado futuro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 tocado, como planeado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config JSONB consumido pelos modelos (Nível 2)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reservar coluna, sem consumidor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coluna criada; zero consumo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template_versions / versionamento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fora desta fase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 criado, como planeado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Via HTML (pdf_templates dormente)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 activar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 tocado, como planeado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 Builder / drag-and-drop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fora desta fase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 criado, como planeado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Etapa 4 — piloto Nível 3 (modelo exclusivo de código)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após aprovação do cliente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pendente por definição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Vale reiterar a condição prévia registada na auditoria: o estado real do projecto Supabase quanto às migrações dormentes (pdf_templates, blueprint engine) permanece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NÃO CONFIRMADO</w:t>
      </w:r>
      <w:r>
        <w:rPr>
          <w:rFonts w:ascii="Times New Roman" w:eastAsia="Microsoft YaHei"/>
          <w:color w:val="000000"/>
          <w:sz w:val="24"/>
          <w:szCs w:val="24"/>
        </w:rPr>
        <w:t xml:space="preserve">, porque não há acesso ao SQL Editor do projecto real a partir do ambiente de desenvolvimento. A tabela nova é independente dessas migrações — a sua aplicação não depende de nenhuma delas — mas a verificação de inventário continua recomendada antes do deploy, por higiene.</w:t>
      </w:r>
    </w:p>
    <w:p>
      <w:pPr>
        <w:pStyle w:val="Heading1"/>
        <w:spacing w:after="160" w:before="400" w:line="312"/>
      </w:pPr>
      <w:bookmarkStart w:id="100002" w:name="_Toc100002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3. O Que Foi Implementado</w:t>
      </w:r>
      <w:bookmarkEnd w:id="100002"/>
    </w:p>
    <w:p>
      <w:pPr>
        <w:pStyle w:val="Heading2"/>
        <w:spacing w:after="120" w:before="280" w:line="312"/>
      </w:pPr>
      <w:bookmarkStart w:id="100003" w:name="_Toc100003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3.1 Etapa 1 — Modelo de dados (commit c357791)</w:t>
      </w:r>
      <w:bookmarkEnd w:id="100003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migration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supabase/migrations/20261007000000_organization_templates.sql</w:t>
      </w:r>
      <w:r>
        <w:rPr>
          <w:rFonts w:ascii="Times New Roman" w:eastAsia="Microsoft YaHei"/>
          <w:color w:val="000000"/>
          <w:sz w:val="24"/>
          <w:szCs w:val="24"/>
        </w:rPr>
        <w:t xml:space="preserve"> cria a tabela com exactamente os campos da proposta: id, organization_id (NOT NULL, FK com CASCADE), template_key (TEXT,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sem CHECK</w:t>
      </w:r>
      <w:r>
        <w:rPr>
          <w:rFonts w:ascii="Times New Roman" w:eastAsia="Microsoft YaHei"/>
          <w:color w:val="000000"/>
          <w:sz w:val="24"/>
          <w:szCs w:val="24"/>
        </w:rPr>
        <w:t xml:space="preserve"> — a validação real é o lookup no registry em código, e uma chave órfã degrada para fallback em vez de erro), nome (rótulo comercial), is_active, is_default, config (JSONB reservado ao Nível 2) e timestamps. É um CREATE puro: nenhuma tabela existente é alterada, o que faz do rollback um DROP TABLE trivial.</w:t>
      </w:r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CREATE TABLE IF NOT EXISTS public.organization_templates (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id              UUID PRIMARY KEY DEFAULT gen_random_uuid(),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organization_id UUID NOT NULL REFERENCES public.organizations(id)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ON DELETE CASCADE,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template_key    TEXT NOT NULL,          -- chave do registry em codigo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nome            TEXT NOT NULL,          -- rotulo comercial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is_active       BOOLEAN NOT NULL DEFAULT true,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is_default      BOOLEAN NOT NULL DEFAULT false,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config          JSONB NOT NULL DEFAULT '{}',  -- reservado (Nivel 2)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created_at      TIMESTAMPTZ NOT NULL DEFAULT now(),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updated_at      TIMESTAMPTZ NOT NULL DEFAULT now()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);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-- no maximo 1 default por org (indice unico parcial):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CREATE UNIQUE INDEX organization_templates_one_default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ON public.organization_templates (organization_id) WHERE is_default;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-- lookup do resolver (default activo):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CREATE INDEX organization_templates_org_active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ON public.organization_templates (organization_id) WHERE is_active;</w:t>
      </w:r>
    </w:p>
    <w:p>
      <w:pPr>
        <w:spacing w:after="160" w:line="120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RLS segue o padrão endurecido das tabelas de negócio — e é deliberadamente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mais restritiva</w:t>
      </w:r>
      <w:r>
        <w:rPr>
          <w:rFonts w:ascii="Times New Roman" w:eastAsia="Microsoft YaHei"/>
          <w:color w:val="000000"/>
          <w:sz w:val="24"/>
          <w:szCs w:val="24"/>
        </w:rPr>
        <w:t xml:space="preserve"> que a da pdf_templates dormente, cuja policy de UPDATE exigia apenas membership. Aqui, a leitura é para membros (ou platform admin) e a escrita exige owner/admin da própria organização (ou platform admin). A policy de UPDATE impede ainda re-apontar uma linha para outra organização, porque o WITH CHECK revalida o organization_id da linha nova. O trigger set_updated_at do schema foi anexado à tabela pelo mesmo padrão usado em todo o projecto.</w:t>
      </w:r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SELECT  org_templates_select_member:  user_belongs_to_org(organization_id)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OR has_role(auth.uid(),'admin')            -- platform admin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INSERT  org_templates_insert_admin:   user_belongs_to_org(organization_id)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AND has_org_role_min_in_org(organization_id,'admin')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OR has_role(auth.uid(),'admin')            -- com WITH CHECK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UPDATE  org_templates_update_admin:   igual ao INSERT (USING + WITH CHECK)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DELETE  org_templates_delete_admin:   igual ao UPDATE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-- membros (viewer/member) so leem; donos/admins gerem; platform admin tudo.</w:t>
      </w:r>
    </w:p>
    <w:p>
      <w:pPr>
        <w:spacing w:after="160" w:line="120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espelho TypeScript foi adicionado manualmente a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src/integrations/supabase/types.ts</w:t>
      </w:r>
      <w:r>
        <w:rPr>
          <w:rFonts w:ascii="Times New Roman" w:eastAsia="Microsoft YaHei"/>
          <w:color w:val="000000"/>
          <w:sz w:val="24"/>
          <w:szCs w:val="24"/>
        </w:rPr>
        <w:t xml:space="preserve"> (Insert/Update/Row + relação para organizations), na posição alfabética que o gerador oficial usaria — o mesmo procedimento já praticado no projecto quando o gen types não corre.</w:t>
      </w:r>
    </w:p>
    <w:p>
      <w:pPr>
        <w:pStyle w:val="Heading2"/>
        <w:spacing w:after="120" w:before="280" w:line="312"/>
      </w:pPr>
      <w:bookmarkStart w:id="100004" w:name="_Toc100004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3.2 Etapa 2 — Resolver puro + service (commit 1e9f4a7)</w:t>
      </w:r>
      <w:bookmarkEnd w:id="100004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coração da funcionalidade é o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src/lib/pdf/resolver.ts</w:t>
      </w:r>
      <w:r>
        <w:rPr>
          <w:rFonts w:ascii="Times New Roman" w:eastAsia="Microsoft YaHei"/>
          <w:color w:val="000000"/>
          <w:sz w:val="24"/>
          <w:szCs w:val="24"/>
        </w:rPr>
        <w:t xml:space="preserve">, deliberadamente puro: não importa o cliente Supabase, recebe a consulta por injecção e por isso é testável sem rede. O contrato é o da proposta: sem orgId devolve o fallback sem qualquer query; com orgId, consulta a linha default activa (uma query leve, filtrada por RLS — organização alheia devolve zero linhas, logo fallback); a chave devolvida é validada contra o registry TEMPLATES_PDF em código, e uma chave órfã degrada para o fallback; qualquer erro devolve o fallback.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A função nunca lança excepções.</w:t>
      </w:r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[Organizacao activa (useOrganization)]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RESOLVER DE TEMPLATE (novo, cliente)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SELECT template_key FROM organization_templates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WHERE organization_id = org AND is_default AND is_active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(RLS: user_belongs_to_org filtra linhas alheias)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existe linha valida?      |     chave registada no codigo?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SIM --------------+----------- NAO -&gt; fallback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|                                        ^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v      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template_key da ORG            (org sem templates, linha inactiva,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|                     erro de rede, chave orfa)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|      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+----------&gt; templateId efectivo &lt;-------+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(fallback do caller: valor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que a pagina usava ANTES)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gerarPropostaPdf(dados, templateId)  [MOTOR INTACTO]</w:t>
      </w:r>
    </w:p>
    <w:p>
      <w:pPr>
        <w:spacing w:after="160" w:line="120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src/services/organizationTemplateService.ts</w:t>
      </w:r>
      <w:r>
        <w:rPr>
          <w:rFonts w:ascii="Times New Roman" w:eastAsia="Microsoft YaHei"/>
          <w:color w:val="000000"/>
          <w:sz w:val="24"/>
          <w:szCs w:val="24"/>
        </w:rPr>
        <w:t xml:space="preserve"> fornece a implementação Supabase da consulta (com degradação silenciosa a null em qualquer erro de leitura) e o CRUD para o painel admin: listar, criar (com limpeza do default anterior quando a nova linha nasce default), definirComoDefault (limpa o default anterior e promove — se a promoção falhar, a org fica temporariamente sem default, o que degrada para fallback em vez de quebrar), definirActivo e remover. As funções de escrita lançam erro visível — o administrador precisa de o ver; as de leitura, não.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Onze testes unitários (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src/lib/__tests__/resolverTemplatesOrg.test.ts</w:t>
      </w:r>
      <w:r>
        <w:rPr>
          <w:rFonts w:ascii="Times New Roman" w:eastAsia="Microsoft YaHei"/>
          <w:color w:val="000000"/>
          <w:sz w:val="24"/>
          <w:szCs w:val="24"/>
        </w:rPr>
        <w:t xml:space="preserve">) cobrem sem rede os sete casos exigidos pela Secção 11.1 da proposta mais quatro casos defensivos — detalhados na Secção 7 deste relatório.</w:t>
      </w:r>
    </w:p>
    <w:p>
      <w:pPr>
        <w:pStyle w:val="Heading2"/>
        <w:spacing w:after="120" w:before="280" w:line="312"/>
      </w:pPr>
      <w:bookmarkStart w:id="100005" w:name="_Toc100005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3.3 Wiring — os três pontos de exportação (commits c392bc3, 7f79ca0, 22287b4)</w:t>
      </w:r>
      <w:bookmarkEnd w:id="100005"/>
    </w:p>
    <w:p>
      <w:pPr>
        <w:spacing w:after="160" w:line="312"/>
        <w:jc w:val="both"/>
      </w:pP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ResumoProposta (cotação/Doc B).</w:t>
      </w:r>
      <w:r>
        <w:rPr>
          <w:rFonts w:ascii="Times New Roman" w:eastAsia="Microsoft YaHei"/>
          <w:color w:val="000000"/>
          <w:sz w:val="24"/>
          <w:szCs w:val="24"/>
        </w:rPr>
        <w:t xml:space="preserve"> O selector de modelo mantém o arranque em 'cotacao' e ganha um efeito que o resolve quando a organização activa é conhecida: se houver default activo, o selector arranca aí. Uma ref (templateManualRef) marca qualquer escolha manual do utilizador, que passa a ganhar sempre — a precedência documentada é proposta (selector) &gt; organização (default) &gt; base ('cotacao'). O envio por email herda automaticamente o mesmo templateId, porque já recebia o valor do estado do selector.</w:t>
      </w:r>
    </w:p>
    <w:p>
      <w:pPr>
        <w:spacing w:after="160" w:line="312"/>
        <w:jc w:val="both"/>
      </w:pP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GerarPropostaIA (Doc A narrativo).</w:t>
      </w:r>
      <w:r>
        <w:rPr>
          <w:rFonts w:ascii="Times New Roman" w:eastAsia="Microsoft YaHei"/>
          <w:color w:val="000000"/>
          <w:sz w:val="24"/>
          <w:szCs w:val="24"/>
        </w:rPr>
        <w:t xml:space="preserve"> O selector arrancava na preferência do localStorage (obterTemplateDefault); agora resolve primeiro o default da org e cai no localStorage apenas quando a org não define nada. A troca manual continua a gravar a preferência do utilizador — o comportamento de gravação imediata não mudou.</w:t>
      </w:r>
    </w:p>
    <w:p>
      <w:pPr>
        <w:spacing w:after="160" w:line="312"/>
        <w:jc w:val="both"/>
      </w:pP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RevisaoProposta (proposta avançada).</w:t>
      </w:r>
      <w:r>
        <w:rPr>
          <w:rFonts w:ascii="Times New Roman" w:eastAsia="Microsoft YaHei"/>
          <w:color w:val="000000"/>
          <w:sz w:val="24"/>
          <w:szCs w:val="24"/>
        </w:rPr>
        <w:t xml:space="preserve"> Os dois pontos (pré-visualização e exportação) passaram a resolver o template à exportação, sempre com fallback à preferência do utilizador. A leitura é feita a cada exportação, sem cache própria — pelo que a troca de organização activa se reflecte de imediato, já que o useOrganization limpa o queryClient na troca.</w:t>
      </w:r>
    </w:p>
    <w:p>
      <w:pPr>
        <w:pStyle w:val="Heading2"/>
        <w:spacing w:after="120" w:before="280" w:line="312"/>
      </w:pPr>
      <w:bookmarkStart w:id="100006" w:name="_Toc100006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3.4 Etapa 3 — Aba de administração (commit 27fb0f8)</w:t>
      </w:r>
      <w:bookmarkEnd w:id="100006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componente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src/pages/admin/TenantTemplatesTab.tsx</w:t>
      </w:r>
      <w:r>
        <w:rPr>
          <w:rFonts w:ascii="Times New Roman" w:eastAsia="Microsoft YaHei"/>
          <w:color w:val="000000"/>
          <w:sz w:val="24"/>
          <w:szCs w:val="24"/>
        </w:rPr>
        <w:t xml:space="preserve"> adiciona a quarta aba (Templates) ao TenantDetailPage do painel de administração. A primeira versão é deliberadamente mínima, como a proposta exigia: lista as linhas da organização, permite adicionar um modelo base do registry com nome próprio opcional, definir default, activar/desactivar e remover. Uma chave órfã (modelo removido num deploy futuro) é sinalizada na tabela com a nota de que degrada para fallback. Não há builder, não há edição de config — a coluna fica reservada ao Nível 2. Todas as operações passam pela RLS: um platform admin ger qualquer tenant; o id do tenant é apenas um hint de UX.</w:t>
      </w:r>
    </w:p>
    <w:p>
      <w:pPr>
        <w:pStyle w:val="Heading1"/>
        <w:spacing w:after="160" w:before="400" w:line="312"/>
      </w:pPr>
      <w:bookmarkStart w:id="100007" w:name="_Toc100007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4. Ficheiros Criados e Alterados</w:t>
      </w:r>
      <w:bookmarkEnd w:id="100007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alteração total resume-se a cinco ficheiros novos e seis modificados — uma superfície pequena, coerente com a estimativa da auditoria ("uma migration pequena, um resolver com fallback, três linhas de wiring e uma aba admin"). Nenhum ficheiro do motor de PDF foi alterado; o resolver injecta-se apenas no argumento templateId que os fluxos já passavam ao motor.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2 — Ficheiros criados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Ficheiro</w:t>
            </w:r>
          </w:p>
        </w:tc>
        <w:tc>
          <w:tcPr>
            <w:tcW w:type="pct" w:w="5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supabase/migrations/20261007000000_organization_templates.sql</w:t>
            </w:r>
          </w:p>
        </w:tc>
        <w:tc>
          <w:tcPr>
            <w:tcW w:type="pct" w:w="5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tabela + índices + RLS endurecida (Etapa 1)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src/lib/pdf/resolver.ts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resolver puro com consulta injectada; nunca lança (Etapa 2)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src/services/organizationTemplateService.ts</w:t>
            </w:r>
          </w:p>
        </w:tc>
        <w:tc>
          <w:tcPr>
            <w:tcW w:type="pct" w:w="5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consulta RLS + CRUD admin (Etapa 2/3)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src/lib/__tests__/resolverTemplatesOrg.test.ts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11 testes unitários sem rede (Etapa 2)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src/pages/admin/TenantTemplatesTab.tsx</w:t>
            </w:r>
          </w:p>
        </w:tc>
        <w:tc>
          <w:tcPr>
            <w:tcW w:type="pct" w:w="5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aba Templates do TenantDetailPage (Etapa 3)</w:t>
            </w:r>
          </w:p>
        </w:tc>
      </w:tr>
    </w:tbl>
    <w:p>
      <w:pPr>
        <w:spacing w:after="160" w:line="312"/>
      </w:pP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3 — Ficheiros alterados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Ficheiro</w:t>
            </w:r>
          </w:p>
        </w:tc>
        <w:tc>
          <w:tcPr>
            <w:tcW w:type="pct" w:w="5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Natureza da alteração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src/integrations/supabase/types.ts</w:t>
            </w:r>
          </w:p>
        </w:tc>
        <w:tc>
          <w:tcPr>
            <w:tcW w:type="pct" w:w="5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espelho manual da tabela nova (Insert/Update/Row)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src/lib/pdf/index.ts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barrel exporta o resolver e o tipo da consulta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src/pages/ResumoProposta.tsx</w:t>
            </w:r>
          </w:p>
        </w:tc>
        <w:tc>
          <w:tcPr>
            <w:tcW w:type="pct" w:w="5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arranque do selector no default da org + guarda manual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src/pages/GerarPropostaIA.tsx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arranque do selector no default da org + guarda manual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src/pages/advanced/RevisaoProposta.tsx</w:t>
            </w:r>
          </w:p>
        </w:tc>
        <w:tc>
          <w:tcPr>
            <w:tcW w:type="pct" w:w="5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2 pontos de exportação resolvem à exportação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src/pages/TenantDetailPage.tsx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4.ª aba (Templates) a invocar o componente novo</w:t>
            </w:r>
          </w:p>
        </w:tc>
      </w:tr>
    </w:tbl>
    <w:p>
      <w:pPr>
        <w:spacing w:after="160" w:line="312"/>
      </w:pP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4 — Áreas deliberadamente NÃO tocadas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pct" w:w="7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motor.ts + 4 template*.ts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zero mudanças — o motor recebe o templateId como antes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propostas (schema e serviços)</w:t>
            </w:r>
          </w:p>
        </w:tc>
        <w:tc>
          <w:tcPr>
            <w:tcW w:type="pct" w:w="7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sem coluna de modelo; snapshot fica como recomendado futuro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Fluxos de IA / edge functions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intocados; nenhuma edge nova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propostaEmailService</w:t>
            </w:r>
          </w:p>
        </w:tc>
        <w:tc>
          <w:tcPr>
            <w:tcW w:type="pct" w:w="7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intocado — herda o templateId já resolvido pelo caller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Storage e buckets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nenhuma mudança (sem imagens para templates nesta fase)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pdf_templates dormente + plan_limits</w:t>
            </w:r>
          </w:p>
        </w:tc>
        <w:tc>
          <w:tcPr>
            <w:tcW w:type="pct" w:w="7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 activados, como decidido na auditoria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TemplateManager (/admin/templates)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galeria de preferência do utilizador mantém-se intacta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Policies RLS existentes</w:t>
            </w:r>
          </w:p>
        </w:tc>
        <w:tc>
          <w:tcPr>
            <w:tcW w:type="pct" w:w="7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nenhuma policy existente foi alterada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leitura importante destas tabelas é a fronteira: tudo o que é novo vive em ficheiros novos; as alterações a ficheiros existentes são de wiring pontual (efeito inicial de um estado ou substituição de um argumento), e cada uma foi commitada isoladamente para poder ser revertida sem arrastar as restantes. A área de maior risco relativo — o painel de administração em produção — ficou reduzida a uma aba nova que só lê e escreve na tabela nova.</w:t>
      </w:r>
    </w:p>
    <w:p>
      <w:pPr>
        <w:pStyle w:val="Heading1"/>
        <w:spacing w:after="160" w:before="400" w:line="312"/>
      </w:pPr>
      <w:bookmarkStart w:id="100008" w:name="_Toc100008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5. Segurança Multi-Tenant</w:t>
      </w:r>
      <w:bookmarkEnd w:id="100008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princípio central manteve-se intocado: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o organization_id do frontend é, no máximo, uma dica de UX</w:t>
      </w:r>
      <w:r>
        <w:rPr>
          <w:rFonts w:ascii="Times New Roman" w:eastAsia="Microsoft YaHei"/>
          <w:color w:val="000000"/>
          <w:sz w:val="24"/>
          <w:szCs w:val="24"/>
        </w:rPr>
        <w:t xml:space="preserve">. A autoridade vem sempre da autenticação. Nas queries do browser (PostgREST), a policy SELECT avalia a pertença do utilizador autenticado à organização da própria linha — um pedido que tente ler templates de outra organização devolve zero linhas, sem erro revelador; no resolver, zero linhas significa fallback do próprio utilizador. Nas operações de escrita do painel admin, o WITH CHECK revalida a pertença e o papel (owner/admin) sobre a linha resultante, e o platform admin atravessa via has_role('admin') — o bypass deliberado e auditável usado em todo o painel.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5 — Superfícies de segurança e comportamento implementado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Superfície</w:t>
            </w:r>
          </w:p>
        </w:tc>
        <w:tc>
          <w:tcPr>
            <w:tcW w:type="pct" w:w="7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Queries do frontend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RLS por linha; org alheia = 0 linhas = fallback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Resolver client-side</w:t>
            </w:r>
          </w:p>
        </w:tc>
        <w:tc>
          <w:tcPr>
            <w:tcW w:type="pct" w:w="7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orgId adulterado nos devtools → a mesma query passa pela RLS → sem efeito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Painel admin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operações escritas passam por has_org_role_min_in_org('admin') ou has_role('admin')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Geração de PDF</w:t>
            </w:r>
          </w:p>
        </w:tc>
        <w:tc>
          <w:tcPr>
            <w:tcW w:type="pct" w:w="7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só vê linhas da própria org; modelos de código são globais (sem dados sensíveis)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Integridade do default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índice único parcial impõe no máximo 1 default por org a nível da base de dados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Re-apontar linha para outra org</w:t>
            </w:r>
          </w:p>
        </w:tc>
        <w:tc>
          <w:tcPr>
            <w:tcW w:type="pct" w:w="7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bloqueado pelo WITH CHECK do UPDATE (revalida organization_id)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Caches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sem cache própria no resolver; queryClient.clear() já existe na troca de org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Duas notas herdam da auditoria e continuam válidas. Primeira: os modelos de código são partilhados por todos os tenants — o exclusivismo vive na linha da tabela, não no binário —, pelo que um futuro template exclusivo de Nível 3 não pode conter dados sensíveis do cliente no código; o branding continua a vir da organização em runtime. Segunda: o seed de templates de sistema fica fora desta tabela; os modelos globais vivem no registry de código, e duplicar o conceito recriaria a confusão que a tabela pdf_templates introduziu.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Um detalhe de robustez adicionado na implementação: a operação "definir default" limpa o default anterior antes de promover o novo, e não o contrário. Se o passo de promoção falhar (rede, permissão), a organização fica temporariamente sem default — o que o resolver traduz em fallback — em vez de arriscar dois defaults, caso que o índice único parcial rejeitaria de qualquer forma a nível da base de dados. A degradação é sempre para o comportamento conhecido, nunca para o erro.</w:t>
      </w:r>
    </w:p>
    <w:p>
      <w:pPr>
        <w:pStyle w:val="Heading1"/>
        <w:spacing w:after="160" w:before="400" w:line="312"/>
      </w:pPr>
      <w:bookmarkStart w:id="100009" w:name="_Toc100009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6. Garantia de Não-Regressão</w:t>
      </w:r>
      <w:bookmarkEnd w:id="100009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não-regressão não é uma esperança: é uma propriedade estrutural do desenho. Antes desta implementação, cada fluxo de exportação decidia o templateId a partir de um valor fixo ('cotacao' no Resumo) ou da preferência do localStorage (obterTemplateDefault). Depois, cada fluxo chama o resolver passando como fallback exactamente esse mesmo valor — o que significa que, quando a organização não tem linha default activa (o caso de todas as organizações até alguém criar uma), o resultado devolvido é literalmente o que o sistema produzia antes. A suite de testes existente passou sem qualquer alteração aos 24 testes de geração de PDF, o que confirma que o motor está intacto.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6 — ANTES vs. DEPOIS (verificação da Secção 10.1 da proposta)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pct" w:w="3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pct" w:w="3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 sem templates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preferência do user / valor fixo da página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MESMO resultado — resolver devolve o fallback idêntico</w:t>
            </w:r>
          </w:p>
        </w:tc>
      </w:tr>
      <w:tr>
        <w:trPr>
          <w:cantSplit/>
        </w:trPr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Resumo da proposta abre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selector em 'cotacao'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continua em 'cotacao' (sem linha na org)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 COM default activo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NOVO: exportações arrancam no modelo da org (selector permite trocar)</w:t>
            </w:r>
          </w:p>
        </w:tc>
      </w:tr>
      <w:tr>
        <w:trPr>
          <w:cantSplit/>
        </w:trPr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 COM default desactivado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fallback, como se a linha não existisse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Chave órfã (modelo removido)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fallback; nunca erro (validação contra o registry)</w:t>
            </w:r>
          </w:p>
        </w:tc>
      </w:tr>
      <w:tr>
        <w:trPr>
          <w:cantSplit/>
        </w:trPr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Proposta antiga reexportada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regenera com a preferência corrente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regenera EXACTAMENTE como hoje (sem snapshots em BD)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Troca manual no selector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ganha sempre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continua a ganhar (templateManualRef)</w:t>
            </w:r>
          </w:p>
        </w:tc>
      </w:tr>
      <w:tr>
        <w:trPr>
          <w:cantSplit/>
        </w:trPr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Email com PDF anexado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usava o templateId do selector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idem — herda o valor resolvido no arranque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precedência final, agora materializada no código e documentada nos comentários das páginas, é: </w:t>
      </w:r>
      <w:r>
        <w:rPr>
          <w:rFonts w:ascii="Times New Roman" w:eastAsia="Microsoft YaHei"/>
          <w:b/>
          <w:bCs/>
          <w:color w:val="000000"/>
          <w:sz w:val="24"/>
          <w:szCs w:val="24"/>
        </w:rPr>
        <w:t xml:space="preserve">proposta (selector do utilizador) &gt; organização (default activo) &gt; preferência individual (localStorage) &gt; hardcoded</w:t>
      </w:r>
      <w:r>
        <w:rPr>
          <w:rFonts w:ascii="Times New Roman" w:eastAsia="Microsoft YaHei"/>
          <w:color w:val="000000"/>
          <w:sz w:val="24"/>
          <w:szCs w:val="24"/>
        </w:rPr>
        <w:t xml:space="preserve">. Para o suporte ao cliente, esta é a única página de documentação necessária: o selector por proposta continua a ganhar, sempre — a organização define o arranque, não um tecto.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desligamento de emergência também foi verificado como trivial: uma organização volta ao comportamento anterior removendo ou desactivando as suas linhas (uma operação na aba admin, sem deploy); no limite, cada commit é revertível isoladamente, e a migration é um CREATE puro cujo rollback é um DROP TABLE com CASCADE.</w:t>
      </w:r>
    </w:p>
    <w:p>
      <w:pPr>
        <w:pStyle w:val="Heading1"/>
        <w:spacing w:after="160" w:before="400" w:line="312"/>
      </w:pPr>
      <w:bookmarkStart w:id="100010" w:name="_Toc100010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7. Validação Executada</w:t>
      </w:r>
      <w:bookmarkEnd w:id="100010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Cada commit foi validado antes de ser gravado, seguindo a disciplina do projecto: compilação TypeScript estrita (tsc --noEmit), linter sobre os ficheiros tocados, suite completa de testes e, no fecho, build de produção. Nenhum erro subsistiu em nenhum passo; o único aviso do build (chunk acima de 500 kB) é pré-existente e alheio a esta alteração. Durante o wiring do ResumoProposta, o linter apanhou uma chaveta extra introduzida numa edição — corrigida antes do commit, o que ilustra o porquê de validar a cada passo.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7 — Validação por commit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pct" w:w="4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Âmbito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tsc</w:t>
            </w:r>
          </w:p>
        </w:tc>
        <w:tc>
          <w:tcPr>
            <w:tcW w:type="pct" w:w="1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eslint</w:t>
            </w:r>
          </w:p>
        </w:tc>
        <w:tc>
          <w:tcPr>
            <w:tcW w:type="pct" w:w="1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vitest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c357791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migration + types mirror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 erros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n/a (SQL+types)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39/39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1e9f4a7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resolver + service + 11 testes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 erros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39/39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c392bc3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wiring ResumoProposta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 erros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39/39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7f79ca0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wiring GerarPropostaIA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 erros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39/39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22287b4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wiring RevisaoProposta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 erros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39/39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27fb0f8</w:t>
            </w:r>
          </w:p>
        </w:tc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aba admin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 erros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39/39</w:t>
            </w:r>
          </w:p>
        </w:tc>
      </w:tr>
    </w:tbl>
    <w:p>
      <w:pPr>
        <w:spacing w:after="160" w:line="312"/>
      </w:pPr>
    </w:p>
    <w:p>
      <w:pPr>
        <w:pBdr>
          <w:left w:val="single" w:color="1B6B7A" w:sz="12" w:space="10"/>
        </w:pBdr>
        <w:shd w:fill="EDF3F5" w:val="clear"/>
        <w:spacing w:after="200" w:before="120" w:line="312"/>
        <w:ind w:left="200" w:right="1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Vitest: 3 ficheiros, 39 testes aprovados e 1 skip pré-existente (marcação anterior ao projecto desta funcionalidade). Build de produção (vite build): concluído em ~11s, sem erros.</w:t>
      </w:r>
    </w:p>
    <w:p>
      <w:pPr>
        <w:pStyle w:val="Heading2"/>
        <w:spacing w:after="120" w:before="280" w:line="312"/>
      </w:pPr>
      <w:bookmarkStart w:id="100011" w:name="_Toc100011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7.1 Os 11 testes unitários do resolver</w:t>
      </w:r>
      <w:bookmarkEnd w:id="100011"/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8 — Casos de teste do resolver (sem rede, consulta injectada)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pct" w:w="3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1. org com default activo válido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devolve a chave da org (1 query)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2. default inactivo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fallback (a query filtra is_active)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3. org sem linhas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fallback — comportamento actual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4. chave órfã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fallback do registry, nunca erro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5. erro de rede/Supabase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fallback; a função nunca lança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6. sem orgId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fallback directo, ZERO queries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7. precedência org vs. user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default da org ganha ao localStorage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8. sem consultador injectado (defensivo)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fallback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9. orgId string vazia (defensivo)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fallback sem query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10. chaveTemplateRegistada — 4 chaves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todas válidas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11. chaveTemplateRegistada — órfãs/null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rejeitadas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Os casos 1 a 7 são exactamente os exigidos pela Secção 11.1 da proposta; os restantes são guardas defensivas do contrato (a função deve ser segura mesmo quando invocada de forma degenerada). Todos correm em milissegundos, sem qualquer dependência de rede — o que os torna adequados a correr em cada commit futuro como barreira de regressão permanente.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que estes testes não cobrem — e não podem cobrir — é a camada de base de dados: as policies RLS em acção, o índice único parcial e o comportamento multi-tenant real. Essa validação exige o projecto Supabase de staging e está detalhada na secção seguinte como lista pronta a executar.</w:t>
      </w:r>
    </w:p>
    <w:p>
      <w:pPr>
        <w:pStyle w:val="Heading1"/>
        <w:spacing w:after="160" w:before="400" w:line="312"/>
      </w:pPr>
      <w:bookmarkStart w:id="100012" w:name="_Toc100012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8. Testes — O Que Falta Executar em Staging</w:t>
      </w:r>
      <w:bookmarkEnd w:id="100012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aplicação da migration e a validação em base de dados real são o único trabalho que falta. A lista seguinte replica a Secção 11.2 da proposta (isolamento multi-tenant) e a Secção 11.4 (validação manual em browser), pronta a executar por essa ordem: primeiro SQL sobre o staging, depois browser com duas organizações de teste. Cada cenário tem resultado esperado explícito, para que a execução não dependa de interpretação.</w:t>
      </w:r>
    </w:p>
    <w:p>
      <w:pPr>
        <w:pStyle w:val="Heading2"/>
        <w:spacing w:after="120" w:before="280" w:line="312"/>
      </w:pPr>
      <w:bookmarkStart w:id="100013" w:name="_Toc100013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8.1 Isolamento multi-tenant (SQL, após aplicar a migration)</w:t>
      </w:r>
      <w:bookmarkEnd w:id="100013"/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9 — Cenários SQL e resultado esperado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Membro da org A lê organization_templates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só vê linhas da org A (0 linhas de outras orgs)</w:t>
            </w:r>
          </w:p>
        </w:tc>
      </w:tr>
      <w:tr>
        <w:trPr>
          <w:cantSplit/>
        </w:trPr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Membro viewer/member da org A faz INSERT/UPDATE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RLS deny (exige owner/admin)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Owner da org A define default / desactiva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permitido; efeito imediato nas exportações</w:t>
            </w:r>
          </w:p>
        </w:tc>
      </w:tr>
      <w:tr>
        <w:trPr>
          <w:cantSplit/>
        </w:trPr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Platform admin (has_role 'admin') lê e gere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tudo visível e gerível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Segundo default na mesma org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rejeitado pelo índice único parcial</w:t>
            </w:r>
          </w:p>
        </w:tc>
      </w:tr>
      <w:tr>
        <w:trPr>
          <w:cantSplit/>
        </w:trPr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UPDATE a re-apontar organization_id para outra org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rejeitado pelo WITH CHECK</w:t>
            </w:r>
          </w:p>
        </w:tc>
      </w:tr>
    </w:tbl>
    <w:p>
      <w:pPr>
        <w:spacing w:after="160" w:line="312"/>
      </w:pPr>
    </w:p>
    <w:p>
      <w:pPr>
        <w:pStyle w:val="Heading2"/>
        <w:spacing w:after="120" w:before="280" w:line="312"/>
      </w:pPr>
      <w:bookmarkStart w:id="100014" w:name="_Toc100014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8.2 Validação manual em browser (staging, 2 tenants)</w:t>
      </w:r>
      <w:bookmarkEnd w:id="100014"/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10 — Cenários de browser e resultado esperado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 A com default 'editorial': exportar cotação, Doc A e proposta avançada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todas saem em Editorial (incluindo email anexado)</w:t>
            </w:r>
          </w:p>
        </w:tc>
      </w:tr>
      <w:tr>
        <w:trPr>
          <w:cantSplit/>
        </w:trPr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 B sem linhas: exportações antes/depois do deploy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idênticas ao comportamento pré-deploy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Trocar manualmente o modelo no selector e exportar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 escolha do utilizador ganha à da org</w:t>
            </w:r>
          </w:p>
        </w:tc>
      </w:tr>
      <w:tr>
        <w:trPr>
          <w:cantSplit/>
        </w:trPr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Desactivar o default da org A no painel admin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exportações voltam ao fallback SEM novo deploy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Utilizador multi-org troca de organização activa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modelo resolvido muda de imediato</w:t>
            </w:r>
          </w:p>
        </w:tc>
      </w:tr>
      <w:tr>
        <w:trPr>
          <w:cantSplit/>
        </w:trPr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Painel admin: adicionar, definir default, desactivar, remover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todas as operações reflectem-se na tabela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Recomenda-se capturar as exportações da org B antes do deploy para comparação visual directa depois — a paridade deve ser total, porque a chave resolvida é a mesma que hoje. Se algum cenário falhar, o diagnóstico é curto por construção: ou a linha não existe/está inactiva (fallback esperado), ou o resolver devolveu o fallback (ver consola do browser), ou a RLS filtrou a linha (ver policies). Não há mais camadas entre a decisão e o PDF.</w:t>
      </w:r>
    </w:p>
    <w:p>
      <w:pPr>
        <w:pStyle w:val="Heading1"/>
        <w:spacing w:after="160" w:before="400" w:line="312"/>
      </w:pPr>
      <w:bookmarkStart w:id="100015" w:name="_Toc100015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9. Riscos Residuais e Rollback</w:t>
      </w:r>
      <w:bookmarkEnd w:id="100015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Dos seis riscos registados na auditoria, quatro foram neutralizados pela implementação tal como planeado: a regressão nos fluxos (fallback encadeado + testes + commits isolados), a chave órfã (validação contra o registry com teste dedicado), a RLS mal copiada (foram copiadas as policies das tabelas de negócio endurecidas, não as da pdf_templates) e o scope creep (nada fora do âmbito foi implementado). Os dois que permanecem são operacionais, não técnicos.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11 — Riscos residuais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Migration aplicada incorrectamente em produção (ordem/estado do projecto real)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migration idempotente (IF NOT EXISTS / DROP POLICY IF EXISTS); validar primeiro em staging; verificar inventário de migrações dormentes no SQL Editor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Confusão de precedência no suporte (user espera a SUA preferência, recebe a da org)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baixo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precedência documentada (Secção 6); o selector por proposta continua a ganhar — basta trocar no ecrã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Adopção precoce da via HTML / Nível 2 por pressão comercial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cada etapa só entra com pedido explícito; config não exposto em UI; dependências HTML não instaladas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Crescimento de templates Nível 3 sem procedimento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piloto único antes de qualquer volume (Etapa 4 da proposta, ainda não iniciada)</w:t>
            </w:r>
          </w:p>
        </w:tc>
      </w:tr>
    </w:tbl>
    <w:p>
      <w:pPr>
        <w:spacing w:after="160" w:line="312"/>
      </w:pPr>
    </w:p>
    <w:p>
      <w:pPr>
        <w:pStyle w:val="Heading2"/>
        <w:spacing w:after="120" w:before="280" w:line="312"/>
      </w:pPr>
      <w:bookmarkStart w:id="100016" w:name="_Toc100016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9.1 Rollback por componente</w:t>
      </w:r>
      <w:bookmarkEnd w:id="100016"/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12 — Desactivação de emergência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pct" w:w="4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Como se desliga</w:t>
            </w:r>
          </w:p>
        </w:tc>
        <w:tc>
          <w:tcPr>
            <w:tcW w:type="pct" w:w="3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Uma organização específica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desactivar/remover as suas linhas na aba admin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 org volta ao fallback SEM deploy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Resolver num fluxo</w:t>
            </w:r>
          </w:p>
        </w:tc>
        <w:tc>
          <w:tcPr>
            <w:tcW w:type="pct" w:w="4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git revert do commit desse fluxo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os outros fluxos mantêm-se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Resolver por inteiro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revert dos 3 commits de wiring + 1e9f4a7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comportamento integralmente pré-deploy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Tabela</w:t>
            </w:r>
          </w:p>
        </w:tc>
        <w:tc>
          <w:tcPr>
            <w:tcW w:type="pct" w:w="4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DROP TABLE organization_templates CASCADE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higiene total; nenhuma outra tabela referenciia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Aba admin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revert de 27fb0f8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painel volta às 3 abas anteriores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rollback mais provável na prática é o primeiro e nem sequer exige engenharia: desactivar a linha na aba admin devolve a organização ao comportamento anterior em segundos, sem deploy. Os restantes existem como rede de segurança de granularidade crescente, do commit único à tabela inteira. Nenhum deles tem dependência em cadeia — cada camada foi desenhada para poder sair sozinha.</w:t>
      </w:r>
    </w:p>
    <w:p>
      <w:pPr>
        <w:pStyle w:val="Heading1"/>
        <w:spacing w:after="160" w:before="400" w:line="312"/>
      </w:pPr>
      <w:bookmarkStart w:id="100017" w:name="_Toc100017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10. Próximos Passos Recomendados</w:t>
      </w:r>
      <w:bookmarkEnd w:id="100017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Se este fosse o meu projecto, faria por esta ordem: primeiro, aplicar a migration em staging e executar as duas listas de validação da Secção 8 (SQL e browser) — meia hora de trabalho que elimina a única incerteza restante (o estado do projecto Supabase real). Segundo, fazer o deploy para produção com a confiança de que organizações sem linhas nada notarão. Terceiro, escolher um cliente simpático e vender o primeiro template exclusivo como piloto pago (a Etapa 4 da proposta): um ficheiro de código novo registado no mesmo padrão dos quatro existentes, uma linha na tabela, e o procedimento operacional documentado com base na experiência real.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que eu não faria já: activar o config JSONB, criar versionamento, ou abrir a via HTML. Cada uma dessas portas continua aberta e mais barata de atravessar agora que a fundação existe — mas nenhuma responde a um pedido actual, e todas adicionam superfície antes de existir procura que a justifique. A regra que guiou a auditoria mantém-se válida para a evolução: a configuração entra pelos DADOS quando os dados chegam, e o exclusivo entra pelo CÓDIGO quando há cliente a pagá-lo.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Com as Etapas 1 a 3 concluídas e validadas, a resposta à pergunta original mantém-se e fica materializada no código: o PropostaJá está pronto para começar a vender templates personalizados por organização. A operacionalização — criar a linha de um cliente no painel admin e ver as suas exportações mudarem de modelo — é agora um procedimento de segundos, sem SQL e sem deploy.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eastAsia="Microsoft YaHei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eastAsia="Microsoft YaHei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line="240"/>
      <w:jc w:val="center"/>
    </w:pPr>
    <w:r>
      <w:rPr>
        <w:rFonts w:ascii="Times New Roman" w:eastAsia="Microsoft YaHei"/>
        <w:color w:val="808080"/>
        <w:sz w:val="18"/>
        <w:szCs w:val="18"/>
      </w:rPr>
      <w:t xml:space="preserve">PropostaJá — Templates Personalizados por Organização · Relatório de Implementação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line="240"/>
      <w:jc w:val="center"/>
    </w:pPr>
    <w:r>
      <w:rPr>
        <w:rFonts w:ascii="Times New Roman" w:eastAsia="Microsoft YaHei"/>
        <w:color w:val="808080"/>
        <w:sz w:val="18"/>
        <w:szCs w:val="18"/>
      </w:rPr>
      <w:t xml:space="preserve">PropostaJá — Templates Personalizados por Organização · Relatório de Implementação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12"/>
      <w:outlineLvl w:val="0"/>
    </w:pPr>
    <w:rPr>
      <w:rFonts w:ascii="Times New Roman" w:eastAsia="Microsoft YaHei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eastAsia="Microsoft YaHei"/>
      <w:b/>
      <w:bCs/>
      <w:color w:val="16223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eastAsia="Microsoft YaHei"/>
      <w:b/>
      <w:bCs/>
      <w:color w:val="162235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Personalizados por Organização — Relatório de Implementação</dc:title>
  <dc:creator>PropostaJá — Engenharia</dc:creator>
  <dc:description>Implementação das Etapas 1 a 3 da proposta aprovada (6 commits, validação completa)</dc:description>
  <cp:lastModifiedBy>Un-named</cp:lastModifiedBy>
  <cp:revision>1</cp:revision>
  <dcterms:created xsi:type="dcterms:W3CDTF">2026-10-07T14:40:47.235Z</dcterms:created>
  <dcterms:modified xsi:type="dcterms:W3CDTF">2026-10-07T14:40:47.235Z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