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emandaTitle"/>
      </w:pPr>
      <w:r>
        <w:t>AL JUZGADO DE LO SOCIAL QUE POR TURNO CORRESPONDA</w:t>
      </w:r>
    </w:p>
    <w:p>
      <w:pPr>
        <w:pStyle w:val="DemandaNormal"/>
      </w:pPr>
    </w:p>
    <w:p>
      <w:pPr>
        <w:pStyle w:val="DemandaNormal"/>
      </w:pPr>
      <w:r>
        <w:t>D./Dña. [NOMBRE DEMANDANTE], con DNI [DNI], y domicilio a efectos de notificaciones en [DOMICILIO A EFECTOS], representado/a por Letrado/a [LETRADO/A], ante el Juzgado comparece y DICE:</w:t>
      </w:r>
    </w:p>
    <w:p>
      <w:pPr>
        <w:pStyle w:val="DemandaNormal"/>
      </w:pPr>
    </w:p>
    <w:p>
      <w:pPr>
        <w:pStyle w:val="DemandaHeading"/>
      </w:pPr>
      <w:r>
        <w:t>JURISPRUDENCIA DE APOYO (extracto de fallos)</w:t>
      </w:r>
    </w:p>
    <w:p>
      <w:pPr>
        <w:pStyle w:val="DemandaIndent"/>
      </w:pPr>
      <w:r>
        <w:t>— sentencia_20250904_124518_2121c8a1.pdf:</w:t>
      </w:r>
    </w:p>
    <w:p>
      <w:pPr>
        <w:pStyle w:val="DemandaHeading"/>
      </w:pPr>
      <w:r>
        <w:t>Fundamentos: PRIMERO.- Al amparo de lo dispuesto en el articulo 193 b de la LRJS se interesa revision del hecho probado séptimo A la exploracién presenta balance articular del hombro derecho flexién y abduccién por encima del 100° pero no aguanta la postura por el dolor, rotaciones mas limitadas.; In embargo en la biomecanica efectuada por la empresa umana en fecha 4 4 2018 con posterioridad a la exploracion fisica y gue objetiva de forma mas precisa las limitaciones de balance articular de la trabajadora, se indica que la flexién esta limitada a 771 ( lo que supone una limitacion del 57%) la abduccion esta limitada a los 71,6 ° lo que supone una limitacion del 20,4 % y que la rotacién externa se haya limitada a 28° lo que supone una limitacién del 69%.</w:t>
      </w:r>
    </w:p>
    <w:p>
      <w:pPr>
        <w:pStyle w:val="DemandaNormal"/>
      </w:pPr>
    </w:p>
    <w:p>
      <w:pPr>
        <w:pStyle w:val="DemandaHeading"/>
      </w:pPr>
      <w:r>
        <w:t>HECHOS</w:t>
      </w:r>
    </w:p>
    <w:p>
      <w:pPr>
        <w:pStyle w:val="DemandaIndent"/>
      </w:pPr>
      <w:r>
        <w:t>1. Relación laboral. La demandante presta servicios como [PROFESIÓN HABITUAL] para la empresa [EMPRESA].</w:t>
      </w:r>
    </w:p>
    <w:p>
      <w:pPr>
        <w:pStyle w:val="DemandaIndent"/>
      </w:pPr>
      <w:r>
        <w:t>2. Contingencia y evolución. [Accidente de trabajo / enfermedad común], con periodos de IT y secuelas actuales.</w:t>
      </w:r>
    </w:p>
    <w:p>
      <w:pPr>
        <w:pStyle w:val="DemandaIndent"/>
      </w:pPr>
      <w:r>
        <w:t>3. Actuaciones administrativas. (EVI, inicio IP, audiencia, resolución del INSS y Reclamación Previa).</w:t>
      </w:r>
    </w:p>
    <w:p>
      <w:pPr>
        <w:pStyle w:val="DemandaIndent"/>
      </w:pPr>
      <w:r>
        <w:t>4. Cuadro clínico y limitaciones. [Describir secuelas relevantes y su impacto en las tareas fundamentales].</w:t>
      </w:r>
    </w:p>
    <w:p>
      <w:pPr>
        <w:pStyle w:val="DemandaNormal"/>
      </w:pPr>
    </w:p>
    <w:p>
      <w:pPr>
        <w:pStyle w:val="DemandaHeading"/>
      </w:pPr>
      <w:r>
        <w:t>FUNDAMENTOS DE DERECHO</w:t>
      </w:r>
    </w:p>
    <w:p>
      <w:pPr>
        <w:pStyle w:val="DemandaIndent"/>
      </w:pPr>
      <w:r>
        <w:t>I. Jurisdicción y competencia (arts. 2 y 6 LRJS).</w:t>
      </w:r>
    </w:p>
    <w:p>
      <w:pPr>
        <w:pStyle w:val="DemandaIndent"/>
      </w:pPr>
      <w:r>
        <w:t>II. Legitimación activa y pasiva (LRJS).</w:t>
      </w:r>
    </w:p>
    <w:p>
      <w:pPr>
        <w:pStyle w:val="DemandaIndent"/>
      </w:pPr>
      <w:r>
        <w:t>III. Fondo del asunto. Arts. 193 y 194 LGSS (grados de incapacidad). Art. 194.2 LGSS (IPP = 24 mensualidades).</w:t>
      </w:r>
    </w:p>
    <w:p>
      <w:pPr>
        <w:pStyle w:val="DemandaIndent"/>
      </w:pPr>
      <w:r>
        <w:t>IV. Doctrina jurisprudencial aplicable (STS 04-07-2025, rec. 1096/2024, sobre IPP subsidiaria; TSJ Castilla y León sobre limitaciones en limpiadoras).</w:t>
      </w:r>
    </w:p>
    <w:p>
      <w:pPr>
        <w:pStyle w:val="DemandaIndent"/>
      </w:pPr>
      <w:r>
        <w:t>V. Principios y derechos constitucionales (art. 24 CE tutela judicial efectiva; 9.3 CE interdicción de la arbitrariedad).</w:t>
      </w:r>
    </w:p>
    <w:p>
      <w:pPr>
        <w:pStyle w:val="DemandaNormal"/>
      </w:pPr>
    </w:p>
    <w:p>
      <w:pPr>
        <w:pStyle w:val="DemandaHeading"/>
      </w:pPr>
      <w:r>
        <w:t>SUPLICO AL JUZGADO:</w:t>
      </w:r>
    </w:p>
    <w:p>
      <w:pPr>
        <w:pStyle w:val="DemandaIndent"/>
      </w:pPr>
      <w:r>
        <w:t>Primero.- Que, estimando la demanda, se declare a la actora afecta a Incapacidad Permanente Total para su profesión habitual de [PROFESIÓN HABITUAL], derivada de [contingencia], con derecho a la prestación correspondiente sobre una base reguladora de [BASE REGULADORA].</w:t>
      </w:r>
    </w:p>
    <w:p>
      <w:pPr>
        <w:pStyle w:val="DemandaIndent"/>
      </w:pPr>
      <w:r>
        <w:t>Subsidiariamente.- Que, para el caso de no apreciarse lo anterior, se declare la Incapacidad Permanente Parcial, con derecho a la indemnización de 24 mensualidades de la base reguladora, a cargo de la Mutua [MUTUA] en caso de accidente de trabajo.</w:t>
      </w:r>
    </w:p>
    <w:p>
      <w:pPr>
        <w:pStyle w:val="DemandaNormal"/>
      </w:pPr>
      <w:r>
        <w:t>Con expresa condena en costas a la parte demandada en los términos legalmente procedentes.</w:t>
      </w:r>
    </w:p>
    <w:p>
      <w:pPr>
        <w:pStyle w:val="DemandaNormal"/>
      </w:pPr>
    </w:p>
    <w:p>
      <w:pPr>
        <w:pStyle w:val="Demanda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mandaTitle">
    <w:name w:val="DemandaTitle"/>
    <w:pPr>
      <w:spacing w:after="240"/>
      <w:jc w:val="center"/>
    </w:pPr>
    <w:rPr>
      <w:rFonts w:ascii="Times New Roman" w:hAnsi="Times New Roman"/>
      <w:b/>
      <w:sz w:val="32"/>
    </w:rPr>
  </w:style>
  <w:style w:type="paragraph" w:customStyle="1" w:styleId="DemandaHeading">
    <w:name w:val="DemandaHeading"/>
    <w:pPr>
      <w:spacing w:before="240" w:after="120"/>
    </w:pPr>
    <w:rPr>
      <w:rFonts w:ascii="Times New Roman" w:hAnsi="Times New Roman"/>
      <w:b/>
      <w:sz w:val="28"/>
    </w:rPr>
  </w:style>
  <w:style w:type="paragraph" w:customStyle="1" w:styleId="DemandaNormal">
    <w:name w:val="DemandaNormal"/>
    <w:pPr>
      <w:spacing w:after="120" w:line="360" w:lineRule="auto"/>
    </w:pPr>
    <w:rPr>
      <w:rFonts w:ascii="Times New Roman" w:hAnsi="Times New Roman"/>
      <w:sz w:val="24"/>
    </w:rPr>
  </w:style>
  <w:style w:type="paragraph" w:customStyle="1" w:styleId="DemandaIndent">
    <w:name w:val="DemandaIndent"/>
    <w:pPr>
      <w:spacing w:after="120" w:line="360" w:lineRule="auto"/>
      <w:ind w:left="72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