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F0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>The resource-ratio hypothesis predicts which populations will outcompete others over limited resources by comparing… [WIP]</w:t>
      </w:r>
    </w:p>
    <w:p w14:paraId="00000002" w14:textId="77777777" w:rsidR="00BF00DA" w:rsidRDefault="00BF00D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3" w14:textId="77777777" w:rsidR="00BF00D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To obtain the basal resource for our experiment, we will isolate and culture a single strain of bacteria from our pitcher plant fluid samples. We will inoculate [x] number of agar plates, noting each with an assigned number and date. After incubating our plates for 24-48 hours at 35°C, we will inoculate a series of tubes, filled with an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amount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of rotifers growing in glucose-rich, rotifer media, with our individual strains (identified by colony morphology) to assay how well rotifers grow with each over a period of [x] days. The strain that promotes the quickest rotifer growth will be collected into a large flask filled with rotifer media to be used as a stock resource for the rest of our experiment.</w:t>
      </w:r>
    </w:p>
    <w:p w14:paraId="00000004" w14:textId="77777777" w:rsidR="00BF00DA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Bacteria, unlike other resources, aren’t finite and may grow alongside the rotifers throughout the experiment, leading to an increase in resource availability over time that can artificially deflate R* calculation. To ensure that potential drifts can be accounted for and that R* can still be determined, we must first perform a preliminary experiment that explores the extent of bacterial growth over 14 days. Five flasks, each with [x] number of rotifers growing in our glucose-rich, rotifer media, will be inoculated with an increasing density of the bacterial stock created previously. We will rinse a well-mixed sample of each flask daily to meet the minimum volume requirements for a spectrophotometer and then filter out rotifers using a handmade tool, leaving only bacteria-rich media in our sample. We will then use a spectrophotometer to measure the absorbance of our samples and perform calculations that determine colony density. After the 14-day growth period, we will plot these absorption levels against time, anticipating one of the following results: there is no drift/little drift, in which case we can proceed without having to monitor bacterial abundance, or that a significant linear drift occurs proportional to the starting bacterial density, which can be accounted for in a real experiment. In the case that drift is too significant or that bacterial growth is random and uncorrelated with starting density, then further experiments may be impossible, and a basal resource besides bacteria is likely necessary. </w:t>
      </w:r>
    </w:p>
    <w:p w14:paraId="00000005" w14:textId="77777777" w:rsidR="00BF00DA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Assuming that drift is manageable, we will perform a common-garden experiment that tracks the growth of rotifers, previously evolved at either 25°C or 30°C, at varying resource levels. We will create five treatment levels: Low Resource ([x amount bacterial stock]), Medium-Low Resource ([x amount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bacterial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stock])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), Medium Resource ([x amount bacterial stock]), Medium-High Resource ([x amount bacterial stock]), and High Resource ([x amount bacterial stock]). At each level, we will have six 150-mL flasks (three 25°C history, three 30°C history; total of 30 flasks across all treatments) filled with [x amount] of rotifers, [x amount] of our rotifer media, and inoculated with the associated amount of bacterial stock. Each flask will be marked using a piece of colored tape as a label providing a number, treatment level, and rotifer evolutionary history. Across a period of [x] days, two well-mixed samples of each flask will be collected daily: one to be mounted to a microscope slide so that rotifers can be counted and recorded, the other to be washed and passed through a filter to record the absorption of media (to monitor changes in bacterial abundance as the experiment progresses). At the end of the experiment, we will collect our data into a population size vs. resource level graph for each evolutionary history. In the case of resource drift, each point on the graph may be represented as a horizontal bar that accounts for bacterial growth throughout the experiment. A best-fit line through our points provides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us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the growth rates of the flasks (slope) and R* (y-intercept). We hypothesize that the average best-fit lines between evolutionary history groups will be significantly different, demonstrating a difference in R* and providing a clear example of an evolution-mediated indirect effect of environmental change through temperature. </w:t>
      </w:r>
    </w:p>
    <w:p w14:paraId="00000006" w14:textId="77777777" w:rsidR="00BF00DA" w:rsidRDefault="00BF00D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BF00D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DCE6BFE-C927-407D-8FE8-C3FEFF4700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762EE2-2EDB-4D66-AB26-21CBCA9737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00DA"/>
    <w:rsid w:val="00024A9E"/>
    <w:rsid w:val="009672BD"/>
    <w:rsid w:val="00BF00DA"/>
    <w:rsid w:val="00F3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BA29B8A-9754-4EA0-A6A6-F978A2C0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F33F4A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TTorB9gfsBBz6dTFnfVxjFutw==">CgMxLjA4AHIhMVgxY3Y5ZjlqRjh5a09VcHNlZ1dWajM5VUpCeFEyN2J2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664</Words>
  <Characters>3561</Characters>
  <Application>Microsoft Office Word</Application>
  <DocSecurity>0</DocSecurity>
  <Lines>55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2</cp:revision>
  <dcterms:created xsi:type="dcterms:W3CDTF">2026-01-21T16:12:00Z</dcterms:created>
  <dcterms:modified xsi:type="dcterms:W3CDTF">2026-01-21T18:21:00Z</dcterms:modified>
</cp:coreProperties>
</file>